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6"/>
      </w:tblGrid>
      <w:tr w:rsidR="002F522D" w14:paraId="5C112BFA" w14:textId="77777777">
        <w:trPr>
          <w:trHeight w:val="818"/>
        </w:trPr>
        <w:tc>
          <w:tcPr>
            <w:tcW w:w="0" w:type="auto"/>
          </w:tcPr>
          <w:p w14:paraId="5C112BF9" w14:textId="77777777" w:rsidR="002F522D" w:rsidRDefault="00D21910">
            <w:pPr>
              <w:pStyle w:val="Pa20"/>
              <w:ind w:left="120"/>
              <w:rPr>
                <w:rFonts w:cs="Myriad Pro"/>
                <w:color w:val="000000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112C17" wp14:editId="5C112C1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13970</wp:posOffset>
                      </wp:positionV>
                      <wp:extent cx="7248525" cy="714375"/>
                      <wp:effectExtent l="9525" t="8890" r="9525" b="1016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85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12C1D" w14:textId="77777777" w:rsidR="00CB0601" w:rsidRPr="002F522D" w:rsidRDefault="00CB0601" w:rsidP="002F522D">
                                  <w:pPr>
                                    <w:shd w:val="clear" w:color="auto" w:fill="C6D9F1"/>
                                    <w:rPr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2F522D">
                                    <w:rPr>
                                      <w:rFonts w:cs="Myriad Pro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Goal</w:t>
                                  </w:r>
                                  <w:r w:rsidR="00190D6E">
                                    <w:rPr>
                                      <w:rFonts w:cs="Myriad Pro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#2</w:t>
                                  </w:r>
                                  <w:r w:rsidRPr="002F522D">
                                    <w:rPr>
                                      <w:rFonts w:cs="Myriad Pro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2F522D">
                                    <w:rPr>
                                      <w:rFonts w:cs="Myriad Pro"/>
                                      <w:bCs/>
                                      <w:i/>
                                      <w:color w:val="000000"/>
                                      <w:sz w:val="32"/>
                                      <w:szCs w:val="32"/>
                                    </w:rPr>
                                    <w:t>To analyze the dynamic relationships of people with land, environments, events, and ideas as they have affected the past, shape the present, and influence the future.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112C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134.25pt;margin-top:1.1pt;width:570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">
                      <v:textbox>
                        <w:txbxContent>
                          <w:p w14:paraId="5C112C1D" w14:textId="77777777" w:rsidR="00CB0601" w:rsidRPr="002F522D" w:rsidRDefault="00CB0601" w:rsidP="002F522D">
                            <w:pPr>
                              <w:shd w:val="clear" w:color="auto" w:fill="C6D9F1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2F522D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Goal</w:t>
                            </w:r>
                            <w:r w:rsidR="00190D6E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#2</w:t>
                            </w:r>
                            <w:r w:rsidRPr="002F522D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2F522D">
                              <w:rPr>
                                <w:rFonts w:cs="Myriad Pro"/>
                                <w:bCs/>
                                <w:i/>
                                <w:color w:val="000000"/>
                                <w:sz w:val="32"/>
                                <w:szCs w:val="32"/>
                              </w:rPr>
                              <w:t>To analyze the dynamic relationships of people with land, environments, events, and ideas as they have affected the past, shape the present, and influence the future.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36"/>
              </w:rPr>
              <w:t xml:space="preserve">                  </w:t>
            </w:r>
          </w:p>
        </w:tc>
      </w:tr>
    </w:tbl>
    <w:p w14:paraId="5C112BFB" w14:textId="77777777" w:rsidR="00D67CC1" w:rsidRDefault="00D21910" w:rsidP="00D67CC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112C19" wp14:editId="5C112C1A">
                <wp:simplePos x="0" y="0"/>
                <wp:positionH relativeFrom="column">
                  <wp:posOffset>1066800</wp:posOffset>
                </wp:positionH>
                <wp:positionV relativeFrom="paragraph">
                  <wp:posOffset>328295</wp:posOffset>
                </wp:positionV>
                <wp:extent cx="4572000" cy="438150"/>
                <wp:effectExtent l="9525" t="9525" r="9525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2C1E" w14:textId="77777777" w:rsidR="00CB0601" w:rsidRDefault="00CB0601" w:rsidP="002F522D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DR9.3 Assess the relationship of the natural environment in the development of a society.</w:t>
                            </w:r>
                          </w:p>
                          <w:p w14:paraId="5C112C1F" w14:textId="77777777" w:rsidR="00CB0601" w:rsidRPr="00BF7082" w:rsidRDefault="00CB0601" w:rsidP="00D67CC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12C19" id="Text Box 13" o:spid="_x0000_s1027" type="#_x0000_t202" style="position:absolute;margin-left:84pt;margin-top:25.85pt;width:5in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">
                <v:textbox>
                  <w:txbxContent>
                    <w:p w14:paraId="5C112C1E" w14:textId="77777777" w:rsidR="00CB0601" w:rsidRDefault="00CB0601" w:rsidP="002F522D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DR9.3 Assess the relationship of the natural environment in the development of a society.</w:t>
                      </w:r>
                    </w:p>
                    <w:p w14:paraId="5C112C1F" w14:textId="77777777" w:rsidR="00CB0601" w:rsidRPr="00BF7082" w:rsidRDefault="00CB0601" w:rsidP="00D67CC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F6">
        <w:rPr>
          <w:noProof/>
          <w:sz w:val="36"/>
          <w:szCs w:val="36"/>
        </w:rPr>
        <w:drawing>
          <wp:inline distT="0" distB="0" distL="0" distR="0" wp14:anchorId="5C112C1B" wp14:editId="5C112C1C">
            <wp:extent cx="1028700" cy="60960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CC1">
        <w:rPr>
          <w:sz w:val="36"/>
          <w:szCs w:val="36"/>
        </w:rPr>
        <w:t xml:space="preserve">                                              </w:t>
      </w:r>
      <w:r w:rsidR="00D67CC1">
        <w:rPr>
          <w:sz w:val="36"/>
          <w:szCs w:val="36"/>
        </w:rPr>
        <w:tab/>
      </w:r>
      <w:r w:rsidR="00D67CC1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</w:t>
      </w:r>
      <w:r w:rsidR="00D67CC1">
        <w:rPr>
          <w:sz w:val="36"/>
          <w:szCs w:val="36"/>
        </w:rPr>
        <w:t>Name: 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94"/>
        <w:gridCol w:w="3343"/>
        <w:gridCol w:w="2835"/>
        <w:gridCol w:w="3119"/>
      </w:tblGrid>
      <w:tr w:rsidR="0019125B" w:rsidRPr="00FB3B5D" w14:paraId="5C112C01" w14:textId="77777777" w:rsidTr="0019125B">
        <w:tc>
          <w:tcPr>
            <w:tcW w:w="2376" w:type="dxa"/>
            <w:shd w:val="clear" w:color="auto" w:fill="D9D9D9" w:themeFill="background1" w:themeFillShade="D9"/>
          </w:tcPr>
          <w:p w14:paraId="5C112BFC" w14:textId="77777777" w:rsidR="0019125B" w:rsidRPr="00FB3B5D" w:rsidRDefault="0019125B" w:rsidP="005F626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Learning Outcome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5C112BFD" w14:textId="77777777" w:rsidR="0019125B" w:rsidRPr="00BB7355" w:rsidRDefault="0019125B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14:paraId="5C112BFE" w14:textId="77777777" w:rsidR="0019125B" w:rsidRPr="00BB7355" w:rsidRDefault="0019125B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C112BFF" w14:textId="77777777" w:rsidR="0019125B" w:rsidRPr="00BB7355" w:rsidRDefault="0019125B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C112C00" w14:textId="77777777" w:rsidR="0019125B" w:rsidRPr="00521A71" w:rsidRDefault="0019125B" w:rsidP="00254D60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19125B" w:rsidRPr="00FB3B5D" w14:paraId="5C112C0E" w14:textId="77777777" w:rsidTr="0019125B">
        <w:tc>
          <w:tcPr>
            <w:tcW w:w="2376" w:type="dxa"/>
            <w:shd w:val="clear" w:color="auto" w:fill="D9D9D9" w:themeFill="background1" w:themeFillShade="D9"/>
          </w:tcPr>
          <w:p w14:paraId="5C112C02" w14:textId="77777777" w:rsidR="0019125B" w:rsidRPr="00FB003A" w:rsidRDefault="0019125B" w:rsidP="00255593">
            <w:pPr>
              <w:pStyle w:val="ListParagraph"/>
              <w:spacing w:after="0" w:line="240" w:lineRule="auto"/>
              <w:ind w:left="360"/>
              <w:jc w:val="center"/>
              <w:rPr>
                <w:b/>
                <w:sz w:val="32"/>
                <w:szCs w:val="32"/>
              </w:rPr>
            </w:pPr>
            <w:r w:rsidRPr="00FB003A">
              <w:rPr>
                <w:b/>
                <w:sz w:val="32"/>
                <w:szCs w:val="32"/>
              </w:rPr>
              <w:t>Assess the relationship of natural environment to development of society</w:t>
            </w:r>
          </w:p>
          <w:p w14:paraId="5C112C03" w14:textId="77777777" w:rsidR="0019125B" w:rsidRPr="003608DB" w:rsidRDefault="0019125B" w:rsidP="005F62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14:paraId="5C112C04" w14:textId="77777777" w:rsidR="0019125B" w:rsidRPr="009977F6" w:rsidRDefault="0019125B" w:rsidP="00D21910">
            <w:pPr>
              <w:spacing w:after="0" w:line="240" w:lineRule="auto"/>
            </w:pPr>
            <w:r w:rsidRPr="009977F6">
              <w:t xml:space="preserve">In addition to being able to </w:t>
            </w:r>
            <w:r w:rsidRPr="009977F6">
              <w:rPr>
                <w:b/>
              </w:rPr>
              <w:t xml:space="preserve">assess </w:t>
            </w:r>
            <w:r w:rsidRPr="009977F6">
              <w:t>the relationship of the Natural Environment (N.E.) to the development of soc</w:t>
            </w:r>
            <w:r w:rsidR="00D21910">
              <w:t>iety in a variety of contexts, you</w:t>
            </w:r>
            <w:r w:rsidRPr="009977F6">
              <w:t xml:space="preserve"> have</w:t>
            </w:r>
            <w:r w:rsidR="00D21910">
              <w:t xml:space="preserve"> done it insightfully </w:t>
            </w:r>
            <w:r w:rsidRPr="009977F6">
              <w:t xml:space="preserve">and </w:t>
            </w:r>
            <w:r w:rsidR="00D21910">
              <w:t xml:space="preserve">show </w:t>
            </w:r>
            <w:r w:rsidRPr="009977F6">
              <w:t>under</w:t>
            </w:r>
            <w:r w:rsidR="00D21910">
              <w:t>standing that is confirmed by your</w:t>
            </w:r>
            <w:r w:rsidRPr="009977F6">
              <w:t xml:space="preserve"> responses to EQ and BI. 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14:paraId="5C112C05" w14:textId="77777777" w:rsidR="0019125B" w:rsidRPr="009977F6" w:rsidRDefault="00D21910" w:rsidP="00D21910">
            <w:pPr>
              <w:spacing w:after="0" w:line="240" w:lineRule="auto"/>
            </w:pPr>
            <w:r>
              <w:t>You</w:t>
            </w:r>
            <w:r w:rsidR="0019125B" w:rsidRPr="009977F6">
              <w:t xml:space="preserve"> can independently </w:t>
            </w:r>
            <w:r w:rsidR="0019125B" w:rsidRPr="009977F6">
              <w:rPr>
                <w:b/>
              </w:rPr>
              <w:t>assess</w:t>
            </w:r>
            <w:r w:rsidR="0019125B" w:rsidRPr="009977F6">
              <w:t xml:space="preserve"> the relationship of the natural environment (N.E.) to the de</w:t>
            </w:r>
            <w:r>
              <w:t>velopment of society based on</w:t>
            </w:r>
            <w:r w:rsidR="0019125B" w:rsidRPr="009977F6">
              <w:t xml:space="preserve"> </w:t>
            </w:r>
            <w:r w:rsidR="0019125B" w:rsidRPr="009977F6">
              <w:rPr>
                <w:b/>
              </w:rPr>
              <w:t>explanations</w:t>
            </w:r>
            <w:r w:rsidR="0019125B" w:rsidRPr="009977F6">
              <w:t xml:space="preserve"> and </w:t>
            </w:r>
            <w:r w:rsidR="0019125B" w:rsidRPr="009977F6">
              <w:rPr>
                <w:b/>
              </w:rPr>
              <w:t>connections</w:t>
            </w:r>
            <w:r w:rsidR="0019125B" w:rsidRPr="009977F6">
              <w:t xml:space="preserve"> of the influence of the N.E. on ways of life, worldview, technology, and overall progress or decline of societies studied, as well as the impact of human factors on the N.E.</w:t>
            </w:r>
            <w:r>
              <w:t xml:space="preserve"> You</w:t>
            </w:r>
            <w:r w:rsidR="0019125B" w:rsidRPr="009977F6">
              <w:t xml:space="preserve"> have affirmed </w:t>
            </w:r>
            <w:r>
              <w:t>understanding in your</w:t>
            </w:r>
            <w:r w:rsidR="0019125B" w:rsidRPr="009977F6">
              <w:t xml:space="preserve"> responses to EQ and BI.</w:t>
            </w:r>
          </w:p>
        </w:tc>
        <w:tc>
          <w:tcPr>
            <w:tcW w:w="2835" w:type="dxa"/>
          </w:tcPr>
          <w:p w14:paraId="5C112C06" w14:textId="77777777" w:rsidR="0019125B" w:rsidRPr="009977F6" w:rsidRDefault="0019125B" w:rsidP="005F626E">
            <w:pPr>
              <w:spacing w:after="0" w:line="240" w:lineRule="auto"/>
            </w:pPr>
            <w:r w:rsidRPr="009977F6">
              <w:t xml:space="preserve">With some </w:t>
            </w:r>
            <w:r w:rsidR="00D21910">
              <w:t>help, you</w:t>
            </w:r>
            <w:r w:rsidRPr="009977F6">
              <w:t xml:space="preserve"> can </w:t>
            </w:r>
            <w:r w:rsidRPr="009977F6">
              <w:rPr>
                <w:b/>
              </w:rPr>
              <w:t xml:space="preserve">assess </w:t>
            </w:r>
            <w:r w:rsidRPr="009977F6">
              <w:t>the relationship of the Natural Environment to the development of society and vice-versa.</w:t>
            </w:r>
          </w:p>
          <w:p w14:paraId="5C112C07" w14:textId="77777777" w:rsidR="0019125B" w:rsidRPr="009977F6" w:rsidRDefault="0019125B" w:rsidP="005F626E">
            <w:pPr>
              <w:spacing w:after="0" w:line="240" w:lineRule="auto"/>
            </w:pPr>
          </w:p>
          <w:p w14:paraId="5C112C08" w14:textId="77777777" w:rsidR="0019125B" w:rsidRPr="009977F6" w:rsidRDefault="0019125B" w:rsidP="005F626E">
            <w:pPr>
              <w:spacing w:after="0" w:line="240" w:lineRule="auto"/>
              <w:rPr>
                <w:i/>
              </w:rPr>
            </w:pPr>
            <w:r w:rsidRPr="009977F6">
              <w:rPr>
                <w:i/>
              </w:rPr>
              <w:t>Be clear in your explanations to ensure that your connection is conveyed.</w:t>
            </w:r>
          </w:p>
        </w:tc>
        <w:tc>
          <w:tcPr>
            <w:tcW w:w="3119" w:type="dxa"/>
          </w:tcPr>
          <w:p w14:paraId="5C112C09" w14:textId="77777777" w:rsidR="0019125B" w:rsidRPr="009977F6" w:rsidRDefault="0019125B" w:rsidP="005F626E">
            <w:pPr>
              <w:spacing w:after="0" w:line="240" w:lineRule="auto"/>
              <w:rPr>
                <w:lang w:val="en-CA"/>
              </w:rPr>
            </w:pPr>
            <w:r w:rsidRPr="009977F6">
              <w:rPr>
                <w:lang w:val="en-CA"/>
              </w:rPr>
              <w:t xml:space="preserve">Even with </w:t>
            </w:r>
            <w:r w:rsidR="00D21910">
              <w:rPr>
                <w:lang w:val="en-CA"/>
              </w:rPr>
              <w:t>help, you are</w:t>
            </w:r>
            <w:r w:rsidRPr="009977F6">
              <w:rPr>
                <w:lang w:val="en-CA"/>
              </w:rPr>
              <w:t xml:space="preserve"> having difficulty assessing the relationship of the Natural Environment to the development of society and vice-versa.</w:t>
            </w:r>
          </w:p>
          <w:p w14:paraId="5C112C0A" w14:textId="77777777" w:rsidR="0019125B" w:rsidRPr="009977F6" w:rsidRDefault="0019125B" w:rsidP="005F626E">
            <w:pPr>
              <w:spacing w:after="0" w:line="240" w:lineRule="auto"/>
              <w:rPr>
                <w:lang w:val="en-CA"/>
              </w:rPr>
            </w:pPr>
          </w:p>
          <w:p w14:paraId="5C112C0B" w14:textId="77777777" w:rsidR="0019125B" w:rsidRPr="009977F6" w:rsidRDefault="0019125B" w:rsidP="005F626E">
            <w:pPr>
              <w:spacing w:after="0" w:line="240" w:lineRule="auto"/>
              <w:rPr>
                <w:i/>
                <w:lang w:val="en-CA"/>
              </w:rPr>
            </w:pPr>
            <w:r w:rsidRPr="009977F6">
              <w:rPr>
                <w:i/>
                <w:lang w:val="en-CA"/>
              </w:rPr>
              <w:t>What items make up natural environment?</w:t>
            </w:r>
          </w:p>
          <w:p w14:paraId="5C112C0C" w14:textId="77777777" w:rsidR="0019125B" w:rsidRPr="009977F6" w:rsidRDefault="0019125B" w:rsidP="005F626E">
            <w:pPr>
              <w:spacing w:after="0" w:line="240" w:lineRule="auto"/>
              <w:rPr>
                <w:i/>
                <w:lang w:val="en-CA"/>
              </w:rPr>
            </w:pPr>
          </w:p>
          <w:p w14:paraId="5C112C0D" w14:textId="77777777" w:rsidR="0019125B" w:rsidRPr="009977F6" w:rsidRDefault="0019125B" w:rsidP="005F626E">
            <w:pPr>
              <w:spacing w:after="0" w:line="240" w:lineRule="auto"/>
              <w:rPr>
                <w:i/>
                <w:lang w:val="en-CA"/>
              </w:rPr>
            </w:pPr>
            <w:r w:rsidRPr="009977F6">
              <w:rPr>
                <w:i/>
                <w:lang w:val="en-CA"/>
              </w:rPr>
              <w:t xml:space="preserve">How do you think our N.E. has impacted our society? </w:t>
            </w:r>
          </w:p>
        </w:tc>
      </w:tr>
      <w:tr w:rsidR="0019125B" w:rsidRPr="00FB3B5D" w14:paraId="5C112C11" w14:textId="77777777" w:rsidTr="0019125B">
        <w:tc>
          <w:tcPr>
            <w:tcW w:w="2376" w:type="dxa"/>
            <w:shd w:val="clear" w:color="auto" w:fill="D9D9D9" w:themeFill="background1" w:themeFillShade="D9"/>
          </w:tcPr>
          <w:p w14:paraId="5C112C0F" w14:textId="77777777" w:rsidR="0019125B" w:rsidRPr="00A62C30" w:rsidRDefault="0019125B" w:rsidP="00255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146">
              <w:rPr>
                <w:b/>
                <w:sz w:val="24"/>
                <w:szCs w:val="24"/>
              </w:rPr>
              <w:t>Essential Question(s)</w:t>
            </w:r>
          </w:p>
        </w:tc>
        <w:tc>
          <w:tcPr>
            <w:tcW w:w="12191" w:type="dxa"/>
            <w:gridSpan w:val="4"/>
          </w:tcPr>
          <w:p w14:paraId="5C112C10" w14:textId="77777777" w:rsidR="0019125B" w:rsidRPr="003E025E" w:rsidRDefault="0019125B" w:rsidP="00255593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32"/>
                <w:szCs w:val="32"/>
              </w:rPr>
              <w:t>How does where we live impact how we live?</w:t>
            </w:r>
          </w:p>
        </w:tc>
      </w:tr>
    </w:tbl>
    <w:p w14:paraId="5C112C12" w14:textId="77777777" w:rsidR="00D67CC1" w:rsidRDefault="00D67CC1"/>
    <w:p w14:paraId="5C112C13" w14:textId="77777777" w:rsidR="00D67CC1" w:rsidRDefault="00F370A6">
      <w:r w:rsidRPr="00255959">
        <w:rPr>
          <w:rFonts w:ascii="Arial" w:hAnsi="Arial" w:cs="Arial"/>
          <w:b/>
          <w:color w:val="000000"/>
          <w:sz w:val="20"/>
          <w:szCs w:val="20"/>
        </w:rPr>
        <w:t xml:space="preserve">Assess </w:t>
      </w:r>
      <w:r>
        <w:rPr>
          <w:rFonts w:ascii="Arial" w:hAnsi="Arial" w:cs="Arial"/>
          <w:color w:val="000000"/>
          <w:sz w:val="20"/>
          <w:szCs w:val="20"/>
        </w:rPr>
        <w:t>- To determine the value, significance, or extent of.</w:t>
      </w:r>
    </w:p>
    <w:p w14:paraId="5C112C14" w14:textId="77777777" w:rsidR="00D67CC1" w:rsidRDefault="00D67CC1"/>
    <w:p w14:paraId="5C112C15" w14:textId="77777777" w:rsidR="00D67CC1" w:rsidRDefault="00D67CC1"/>
    <w:p w14:paraId="5C112C16" w14:textId="77777777" w:rsidR="00D67CC1" w:rsidRDefault="00D67CC1"/>
    <w:sectPr w:rsidR="00D67CC1" w:rsidSect="00BF7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6AC8"/>
    <w:multiLevelType w:val="hybridMultilevel"/>
    <w:tmpl w:val="B97C7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008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8D"/>
    <w:rsid w:val="00047878"/>
    <w:rsid w:val="00061146"/>
    <w:rsid w:val="000D1FA3"/>
    <w:rsid w:val="00190D6E"/>
    <w:rsid w:val="0019125B"/>
    <w:rsid w:val="001F7FCC"/>
    <w:rsid w:val="00255593"/>
    <w:rsid w:val="00255959"/>
    <w:rsid w:val="002B6A71"/>
    <w:rsid w:val="002F522D"/>
    <w:rsid w:val="002F6B8D"/>
    <w:rsid w:val="00350B95"/>
    <w:rsid w:val="00417486"/>
    <w:rsid w:val="00493A27"/>
    <w:rsid w:val="00527772"/>
    <w:rsid w:val="00596D3F"/>
    <w:rsid w:val="005D16BE"/>
    <w:rsid w:val="005D5910"/>
    <w:rsid w:val="005F626E"/>
    <w:rsid w:val="006234DD"/>
    <w:rsid w:val="00635B78"/>
    <w:rsid w:val="00661CCF"/>
    <w:rsid w:val="00664DDC"/>
    <w:rsid w:val="006A0E8D"/>
    <w:rsid w:val="008847B1"/>
    <w:rsid w:val="00892417"/>
    <w:rsid w:val="00894DE3"/>
    <w:rsid w:val="009540BA"/>
    <w:rsid w:val="00966C1D"/>
    <w:rsid w:val="009977F6"/>
    <w:rsid w:val="00A91D2D"/>
    <w:rsid w:val="00AF7F8C"/>
    <w:rsid w:val="00B80039"/>
    <w:rsid w:val="00BF7082"/>
    <w:rsid w:val="00C0347F"/>
    <w:rsid w:val="00CA6766"/>
    <w:rsid w:val="00CB0601"/>
    <w:rsid w:val="00CC02B8"/>
    <w:rsid w:val="00CE01DE"/>
    <w:rsid w:val="00D21910"/>
    <w:rsid w:val="00D67CC1"/>
    <w:rsid w:val="00DC62E1"/>
    <w:rsid w:val="00E15574"/>
    <w:rsid w:val="00E33596"/>
    <w:rsid w:val="00E9288E"/>
    <w:rsid w:val="00EC3E41"/>
    <w:rsid w:val="00F10D57"/>
    <w:rsid w:val="00F370A6"/>
    <w:rsid w:val="00FB003A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2BF9"/>
  <w15:docId w15:val="{CB02F7EC-4815-4EB8-A92E-981219A4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708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F7082"/>
    <w:pPr>
      <w:spacing w:line="2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BF7082"/>
    <w:pPr>
      <w:spacing w:before="240" w:after="120" w:line="24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417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9B25740740B429A338CDBA11DEB6B" ma:contentTypeVersion="0" ma:contentTypeDescription="Create a new document." ma:contentTypeScope="" ma:versionID="1f9b9910a2a76cafb43e86bc60b64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4E151-1851-478F-8EC4-C496DC240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D87EA-81F7-4AB7-B525-0C81CC03DE4A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7BEBF6-A41B-49F5-8E8F-D284F6E59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Kole Yarycky</cp:lastModifiedBy>
  <cp:revision>2</cp:revision>
  <cp:lastPrinted>2011-07-01T18:58:00Z</cp:lastPrinted>
  <dcterms:created xsi:type="dcterms:W3CDTF">2024-08-22T17:36:00Z</dcterms:created>
  <dcterms:modified xsi:type="dcterms:W3CDTF">2024-08-22T17:36:00Z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0x010100E4C9B25740740B429A338CDBA11DEB6B</vt:lpwstr>
  </property>
</Properties>
</file>