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46"/>
        <w:tblW w:w="15569" w:type="dxa"/>
        <w:tblLayout w:type="fixed"/>
        <w:tblLook w:val="0000" w:firstRow="0" w:lastRow="0" w:firstColumn="0" w:lastColumn="0" w:noHBand="0" w:noVBand="0"/>
      </w:tblPr>
      <w:tblGrid>
        <w:gridCol w:w="2338"/>
        <w:gridCol w:w="3367"/>
        <w:gridCol w:w="3353"/>
        <w:gridCol w:w="3240"/>
        <w:gridCol w:w="3271"/>
      </w:tblGrid>
      <w:tr w:rsidR="00B91D61" w:rsidRPr="00F672AE" w14:paraId="1D5B2F4C" w14:textId="77777777" w:rsidTr="00B91D61">
        <w:trPr>
          <w:trHeight w:val="358"/>
        </w:trPr>
        <w:tc>
          <w:tcPr>
            <w:tcW w:w="15569" w:type="dxa"/>
            <w:gridSpan w:val="5"/>
            <w:tcBorders>
              <w:top w:val="single" w:sz="2" w:space="0" w:color="000000"/>
              <w:left w:val="single" w:sz="2" w:space="0" w:color="000000"/>
              <w:bottom w:val="single" w:sz="2" w:space="0" w:color="000000"/>
              <w:right w:val="single" w:sz="2" w:space="0" w:color="000000"/>
            </w:tcBorders>
          </w:tcPr>
          <w:p w14:paraId="1D5B2F4B" w14:textId="77777777" w:rsidR="00B91D61" w:rsidRPr="00B91D61" w:rsidRDefault="00B91D61" w:rsidP="00B91D61">
            <w:pPr>
              <w:rPr>
                <w:sz w:val="28"/>
                <w:szCs w:val="28"/>
                <w:u w:val="single"/>
              </w:rPr>
            </w:pPr>
            <w:r w:rsidRPr="00B91D61">
              <w:rPr>
                <w:sz w:val="28"/>
                <w:szCs w:val="28"/>
                <w:u w:val="single"/>
              </w:rPr>
              <w:t>Reading Rubric</w:t>
            </w:r>
          </w:p>
        </w:tc>
      </w:tr>
      <w:tr w:rsidR="00F672AE" w:rsidRPr="00F672AE" w14:paraId="1D5B2F4E" w14:textId="77777777" w:rsidTr="00B91D61">
        <w:trPr>
          <w:trHeight w:val="566"/>
        </w:trPr>
        <w:tc>
          <w:tcPr>
            <w:tcW w:w="15569" w:type="dxa"/>
            <w:gridSpan w:val="5"/>
            <w:tcBorders>
              <w:top w:val="single" w:sz="2" w:space="0" w:color="000000"/>
              <w:left w:val="single" w:sz="2" w:space="0" w:color="000000"/>
              <w:bottom w:val="single" w:sz="2" w:space="0" w:color="000000"/>
              <w:right w:val="single" w:sz="2" w:space="0" w:color="000000"/>
            </w:tcBorders>
          </w:tcPr>
          <w:p w14:paraId="1D5B2F4D"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b/>
                <w:bCs/>
                <w:color w:val="000000"/>
                <w:sz w:val="20"/>
                <w:szCs w:val="20"/>
              </w:rPr>
              <w:t>CR9.6a &amp; CR9.6b</w:t>
            </w:r>
            <w:r w:rsidRPr="00F672AE">
              <w:rPr>
                <w:rFonts w:cs="Calibri"/>
                <w:color w:val="000000"/>
                <w:sz w:val="20"/>
                <w:szCs w:val="20"/>
              </w:rPr>
              <w:t xml:space="preserve"> Read &amp; demonstrate comprehension &amp; interpretation of grade-level appropriate texts including traditional &amp; comtemporary prose fiction, poetry, &amp; plays from First Nations, Metis, &amp; other cultures to develop an insightful interpretation &amp; response.</w:t>
            </w:r>
          </w:p>
        </w:tc>
      </w:tr>
      <w:tr w:rsidR="00F672AE" w:rsidRPr="00F672AE" w14:paraId="1D5B2F50" w14:textId="77777777" w:rsidTr="00B91D61">
        <w:trPr>
          <w:trHeight w:val="566"/>
        </w:trPr>
        <w:tc>
          <w:tcPr>
            <w:tcW w:w="15569" w:type="dxa"/>
            <w:gridSpan w:val="5"/>
            <w:tcBorders>
              <w:top w:val="single" w:sz="2" w:space="0" w:color="000000"/>
              <w:left w:val="single" w:sz="2" w:space="0" w:color="000000"/>
              <w:bottom w:val="single" w:sz="2" w:space="0" w:color="000000"/>
              <w:right w:val="single" w:sz="2" w:space="0" w:color="000000"/>
            </w:tcBorders>
          </w:tcPr>
          <w:p w14:paraId="1D5B2F4F"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b/>
                <w:bCs/>
                <w:color w:val="000000"/>
                <w:sz w:val="20"/>
                <w:szCs w:val="20"/>
              </w:rPr>
              <w:t>CR9.7a &amp; CR9.7b</w:t>
            </w:r>
            <w:r w:rsidRPr="00F672AE">
              <w:rPr>
                <w:rFonts w:cs="Calibri"/>
                <w:color w:val="000000"/>
                <w:sz w:val="20"/>
                <w:szCs w:val="20"/>
              </w:rPr>
              <w:t xml:space="preserve"> Read independently &amp; demonstrate comprehension &amp; of a variety of information texts including expository essays, historical accounts, news articles, &amp; scientific writing.</w:t>
            </w:r>
          </w:p>
        </w:tc>
      </w:tr>
      <w:tr w:rsidR="00F672AE" w:rsidRPr="00F672AE" w14:paraId="1D5B2F53" w14:textId="77777777" w:rsidTr="00B91D61">
        <w:trPr>
          <w:trHeight w:val="420"/>
        </w:trPr>
        <w:tc>
          <w:tcPr>
            <w:tcW w:w="12298" w:type="dxa"/>
            <w:gridSpan w:val="4"/>
            <w:tcBorders>
              <w:top w:val="single" w:sz="2" w:space="0" w:color="000000"/>
              <w:left w:val="single" w:sz="2" w:space="0" w:color="000000"/>
              <w:bottom w:val="single" w:sz="2" w:space="0" w:color="000000"/>
              <w:right w:val="nil"/>
            </w:tcBorders>
          </w:tcPr>
          <w:p w14:paraId="1D5B2F51"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b/>
                <w:bCs/>
                <w:color w:val="000000"/>
                <w:sz w:val="20"/>
                <w:szCs w:val="20"/>
              </w:rPr>
              <w:t>CR9.8a &amp; CR9.8b</w:t>
            </w:r>
            <w:r w:rsidRPr="00F672AE">
              <w:rPr>
                <w:rFonts w:cs="Calibri"/>
                <w:color w:val="000000"/>
                <w:sz w:val="20"/>
                <w:szCs w:val="20"/>
              </w:rPr>
              <w:t xml:space="preserve"> Read grade 9 appropriate texts to increase fluency &amp; expression (150 +wcpm orally; 215 – 260 silently).</w:t>
            </w:r>
          </w:p>
        </w:tc>
        <w:tc>
          <w:tcPr>
            <w:tcW w:w="3271" w:type="dxa"/>
            <w:tcBorders>
              <w:top w:val="single" w:sz="2" w:space="0" w:color="000000"/>
              <w:left w:val="nil"/>
              <w:bottom w:val="single" w:sz="2" w:space="0" w:color="000000"/>
              <w:right w:val="single" w:sz="2" w:space="0" w:color="000000"/>
            </w:tcBorders>
          </w:tcPr>
          <w:p w14:paraId="1D5B2F52" w14:textId="77777777" w:rsidR="00F672AE" w:rsidRPr="00F672AE" w:rsidRDefault="00F672AE" w:rsidP="00B91D61">
            <w:pPr>
              <w:autoSpaceDE w:val="0"/>
              <w:autoSpaceDN w:val="0"/>
              <w:adjustRightInd w:val="0"/>
              <w:ind w:left="0" w:firstLine="0"/>
              <w:rPr>
                <w:rFonts w:cs="Calibri"/>
                <w:color w:val="000000"/>
                <w:sz w:val="20"/>
                <w:szCs w:val="20"/>
              </w:rPr>
            </w:pPr>
          </w:p>
        </w:tc>
      </w:tr>
      <w:tr w:rsidR="00F672AE" w:rsidRPr="00F672AE" w14:paraId="1D5B2F59" w14:textId="77777777" w:rsidTr="00B91D61">
        <w:trPr>
          <w:trHeight w:val="290"/>
        </w:trPr>
        <w:tc>
          <w:tcPr>
            <w:tcW w:w="2338" w:type="dxa"/>
            <w:tcBorders>
              <w:top w:val="single" w:sz="2" w:space="0" w:color="000000"/>
              <w:left w:val="single" w:sz="2" w:space="0" w:color="000000"/>
              <w:bottom w:val="single" w:sz="2" w:space="0" w:color="000000"/>
              <w:right w:val="single" w:sz="2" w:space="0" w:color="000000"/>
            </w:tcBorders>
          </w:tcPr>
          <w:p w14:paraId="1D5B2F54" w14:textId="77777777" w:rsidR="00F672AE" w:rsidRPr="00F672AE" w:rsidRDefault="00F672AE" w:rsidP="00B91D61">
            <w:pPr>
              <w:autoSpaceDE w:val="0"/>
              <w:autoSpaceDN w:val="0"/>
              <w:adjustRightInd w:val="0"/>
              <w:ind w:left="0" w:firstLine="0"/>
              <w:rPr>
                <w:rFonts w:cs="Calibri"/>
                <w:b/>
                <w:bCs/>
                <w:color w:val="000000"/>
                <w:sz w:val="20"/>
                <w:szCs w:val="20"/>
              </w:rPr>
            </w:pPr>
            <w:r w:rsidRPr="00F672AE">
              <w:rPr>
                <w:rFonts w:cs="Calibri"/>
                <w:b/>
                <w:bCs/>
                <w:color w:val="000000"/>
                <w:sz w:val="20"/>
                <w:szCs w:val="20"/>
              </w:rPr>
              <w:t>Criteria</w:t>
            </w:r>
          </w:p>
        </w:tc>
        <w:tc>
          <w:tcPr>
            <w:tcW w:w="3367" w:type="dxa"/>
            <w:tcBorders>
              <w:top w:val="single" w:sz="2" w:space="0" w:color="000000"/>
              <w:left w:val="single" w:sz="2" w:space="0" w:color="000000"/>
              <w:bottom w:val="single" w:sz="2" w:space="0" w:color="000000"/>
              <w:right w:val="single" w:sz="2" w:space="0" w:color="000000"/>
            </w:tcBorders>
          </w:tcPr>
          <w:p w14:paraId="1D5B2F55" w14:textId="77777777" w:rsidR="00F672AE" w:rsidRPr="00F672AE" w:rsidRDefault="00F672AE" w:rsidP="00B91D61">
            <w:pPr>
              <w:autoSpaceDE w:val="0"/>
              <w:autoSpaceDN w:val="0"/>
              <w:adjustRightInd w:val="0"/>
              <w:ind w:left="0" w:firstLine="0"/>
              <w:jc w:val="center"/>
              <w:rPr>
                <w:rFonts w:cs="Calibri"/>
                <w:b/>
                <w:bCs/>
                <w:color w:val="000000"/>
                <w:sz w:val="20"/>
                <w:szCs w:val="20"/>
              </w:rPr>
            </w:pPr>
            <w:r w:rsidRPr="00F672AE">
              <w:rPr>
                <w:rFonts w:cs="Calibri"/>
                <w:b/>
                <w:bCs/>
                <w:color w:val="000000"/>
                <w:sz w:val="20"/>
                <w:szCs w:val="20"/>
              </w:rPr>
              <w:t>Magnificent</w:t>
            </w:r>
          </w:p>
        </w:tc>
        <w:tc>
          <w:tcPr>
            <w:tcW w:w="3353" w:type="dxa"/>
            <w:tcBorders>
              <w:top w:val="single" w:sz="2" w:space="0" w:color="000000"/>
              <w:left w:val="single" w:sz="2" w:space="0" w:color="000000"/>
              <w:bottom w:val="single" w:sz="2" w:space="0" w:color="000000"/>
              <w:right w:val="single" w:sz="2" w:space="0" w:color="000000"/>
            </w:tcBorders>
          </w:tcPr>
          <w:p w14:paraId="1D5B2F56" w14:textId="77777777" w:rsidR="00F672AE" w:rsidRPr="00F672AE" w:rsidRDefault="00F672AE" w:rsidP="00B91D61">
            <w:pPr>
              <w:autoSpaceDE w:val="0"/>
              <w:autoSpaceDN w:val="0"/>
              <w:adjustRightInd w:val="0"/>
              <w:ind w:left="0" w:firstLine="0"/>
              <w:jc w:val="center"/>
              <w:rPr>
                <w:rFonts w:cs="Calibri"/>
                <w:b/>
                <w:bCs/>
                <w:color w:val="000000"/>
                <w:sz w:val="20"/>
                <w:szCs w:val="20"/>
              </w:rPr>
            </w:pPr>
            <w:r w:rsidRPr="00F672AE">
              <w:rPr>
                <w:rFonts w:cs="Calibri"/>
                <w:b/>
                <w:bCs/>
                <w:color w:val="000000"/>
                <w:sz w:val="20"/>
                <w:szCs w:val="20"/>
              </w:rPr>
              <w:t>Mastered</w:t>
            </w:r>
          </w:p>
        </w:tc>
        <w:tc>
          <w:tcPr>
            <w:tcW w:w="3240" w:type="dxa"/>
            <w:tcBorders>
              <w:top w:val="single" w:sz="2" w:space="0" w:color="000000"/>
              <w:left w:val="single" w:sz="2" w:space="0" w:color="000000"/>
              <w:bottom w:val="single" w:sz="2" w:space="0" w:color="000000"/>
              <w:right w:val="single" w:sz="2" w:space="0" w:color="000000"/>
            </w:tcBorders>
          </w:tcPr>
          <w:p w14:paraId="1D5B2F57" w14:textId="77777777" w:rsidR="00F672AE" w:rsidRPr="00F672AE" w:rsidRDefault="00F672AE" w:rsidP="00B91D61">
            <w:pPr>
              <w:autoSpaceDE w:val="0"/>
              <w:autoSpaceDN w:val="0"/>
              <w:adjustRightInd w:val="0"/>
              <w:ind w:left="0" w:firstLine="0"/>
              <w:jc w:val="center"/>
              <w:rPr>
                <w:rFonts w:cs="Calibri"/>
                <w:b/>
                <w:bCs/>
                <w:color w:val="000000"/>
                <w:sz w:val="20"/>
                <w:szCs w:val="20"/>
              </w:rPr>
            </w:pPr>
            <w:r w:rsidRPr="00F672AE">
              <w:rPr>
                <w:rFonts w:cs="Calibri"/>
                <w:b/>
                <w:bCs/>
                <w:color w:val="000000"/>
                <w:sz w:val="20"/>
                <w:szCs w:val="20"/>
              </w:rPr>
              <w:t>Mustered</w:t>
            </w:r>
          </w:p>
        </w:tc>
        <w:tc>
          <w:tcPr>
            <w:tcW w:w="3271" w:type="dxa"/>
            <w:tcBorders>
              <w:top w:val="single" w:sz="2" w:space="0" w:color="000000"/>
              <w:left w:val="single" w:sz="2" w:space="0" w:color="000000"/>
              <w:bottom w:val="single" w:sz="2" w:space="0" w:color="000000"/>
              <w:right w:val="single" w:sz="2" w:space="0" w:color="000000"/>
            </w:tcBorders>
          </w:tcPr>
          <w:p w14:paraId="1D5B2F58" w14:textId="77777777" w:rsidR="00F672AE" w:rsidRPr="00F672AE" w:rsidRDefault="00F672AE" w:rsidP="00B91D61">
            <w:pPr>
              <w:autoSpaceDE w:val="0"/>
              <w:autoSpaceDN w:val="0"/>
              <w:adjustRightInd w:val="0"/>
              <w:ind w:left="0" w:firstLine="0"/>
              <w:jc w:val="center"/>
              <w:rPr>
                <w:rFonts w:cs="Calibri"/>
                <w:b/>
                <w:bCs/>
                <w:color w:val="000000"/>
                <w:sz w:val="20"/>
                <w:szCs w:val="20"/>
              </w:rPr>
            </w:pPr>
            <w:r w:rsidRPr="00F672AE">
              <w:rPr>
                <w:rFonts w:cs="Calibri"/>
                <w:b/>
                <w:bCs/>
                <w:color w:val="000000"/>
                <w:sz w:val="20"/>
                <w:szCs w:val="20"/>
              </w:rPr>
              <w:t>Messed Up</w:t>
            </w:r>
          </w:p>
        </w:tc>
      </w:tr>
      <w:tr w:rsidR="00F672AE" w:rsidRPr="00F672AE" w14:paraId="1D5B2F5F" w14:textId="77777777" w:rsidTr="00B91D61">
        <w:trPr>
          <w:trHeight w:val="2047"/>
        </w:trPr>
        <w:tc>
          <w:tcPr>
            <w:tcW w:w="2338" w:type="dxa"/>
            <w:tcBorders>
              <w:top w:val="single" w:sz="2" w:space="0" w:color="000000"/>
              <w:left w:val="single" w:sz="2" w:space="0" w:color="000000"/>
              <w:bottom w:val="single" w:sz="2" w:space="0" w:color="000000"/>
              <w:right w:val="single" w:sz="2" w:space="0" w:color="000000"/>
            </w:tcBorders>
          </w:tcPr>
          <w:p w14:paraId="1D5B2F5A" w14:textId="77777777" w:rsidR="00F672AE" w:rsidRPr="00F672AE" w:rsidRDefault="00F672AE" w:rsidP="00B91D61">
            <w:pPr>
              <w:autoSpaceDE w:val="0"/>
              <w:autoSpaceDN w:val="0"/>
              <w:adjustRightInd w:val="0"/>
              <w:ind w:left="0" w:firstLine="0"/>
              <w:rPr>
                <w:rFonts w:cs="Calibri"/>
                <w:b/>
                <w:bCs/>
                <w:color w:val="000000"/>
                <w:sz w:val="20"/>
                <w:szCs w:val="20"/>
              </w:rPr>
            </w:pPr>
            <w:r w:rsidRPr="00F672AE">
              <w:rPr>
                <w:rFonts w:cs="Calibri"/>
                <w:b/>
                <w:bCs/>
                <w:color w:val="000000"/>
                <w:sz w:val="20"/>
                <w:szCs w:val="20"/>
              </w:rPr>
              <w:t>Preliminary Work</w:t>
            </w:r>
          </w:p>
        </w:tc>
        <w:tc>
          <w:tcPr>
            <w:tcW w:w="3367" w:type="dxa"/>
            <w:tcBorders>
              <w:top w:val="single" w:sz="2" w:space="0" w:color="000000"/>
              <w:left w:val="single" w:sz="2" w:space="0" w:color="000000"/>
              <w:bottom w:val="single" w:sz="2" w:space="0" w:color="000000"/>
              <w:right w:val="single" w:sz="2" w:space="0" w:color="000000"/>
            </w:tcBorders>
          </w:tcPr>
          <w:p w14:paraId="1D5B2F5B"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Student employs pre-reading strategies to </w:t>
            </w:r>
            <w:r w:rsidR="00B91D61">
              <w:rPr>
                <w:rFonts w:cs="Calibri"/>
                <w:color w:val="000000"/>
                <w:sz w:val="20"/>
                <w:szCs w:val="20"/>
              </w:rPr>
              <w:t xml:space="preserve">make accurate predictions, and </w:t>
            </w:r>
            <w:r w:rsidRPr="00F672AE">
              <w:rPr>
                <w:rFonts w:cs="Calibri"/>
                <w:color w:val="000000"/>
                <w:sz w:val="20"/>
                <w:szCs w:val="20"/>
              </w:rPr>
              <w:t>to suc</w:t>
            </w:r>
            <w:r w:rsidR="00B91D61">
              <w:rPr>
                <w:rFonts w:cs="Calibri"/>
                <w:color w:val="000000"/>
                <w:sz w:val="20"/>
                <w:szCs w:val="20"/>
              </w:rPr>
              <w:t>c</w:t>
            </w:r>
            <w:r w:rsidRPr="00F672AE">
              <w:rPr>
                <w:rFonts w:cs="Calibri"/>
                <w:color w:val="000000"/>
                <w:sz w:val="20"/>
                <w:szCs w:val="20"/>
              </w:rPr>
              <w:t>essful</w:t>
            </w:r>
            <w:r w:rsidR="00B91D61">
              <w:rPr>
                <w:rFonts w:cs="Calibri"/>
                <w:color w:val="000000"/>
                <w:sz w:val="20"/>
                <w:szCs w:val="20"/>
              </w:rPr>
              <w:t>l</w:t>
            </w:r>
            <w:r w:rsidRPr="00F672AE">
              <w:rPr>
                <w:rFonts w:cs="Calibri"/>
                <w:color w:val="000000"/>
                <w:sz w:val="20"/>
                <w:szCs w:val="20"/>
              </w:rPr>
              <w:t>y make independent reading selections which allow them to be fully engaged in the selection.</w:t>
            </w:r>
          </w:p>
        </w:tc>
        <w:tc>
          <w:tcPr>
            <w:tcW w:w="3353" w:type="dxa"/>
            <w:tcBorders>
              <w:top w:val="single" w:sz="2" w:space="0" w:color="000000"/>
              <w:left w:val="single" w:sz="2" w:space="0" w:color="000000"/>
              <w:bottom w:val="single" w:sz="2" w:space="0" w:color="000000"/>
              <w:right w:val="single" w:sz="2" w:space="0" w:color="000000"/>
            </w:tcBorders>
          </w:tcPr>
          <w:p w14:paraId="1D5B2F5C"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Student employs pre-reading strat</w:t>
            </w:r>
            <w:r w:rsidR="00B91D61">
              <w:rPr>
                <w:rFonts w:cs="Calibri"/>
                <w:color w:val="000000"/>
                <w:sz w:val="20"/>
                <w:szCs w:val="20"/>
              </w:rPr>
              <w:t xml:space="preserve">egies to make predictions, and </w:t>
            </w:r>
            <w:r w:rsidRPr="00F672AE">
              <w:rPr>
                <w:rFonts w:cs="Calibri"/>
                <w:color w:val="000000"/>
                <w:sz w:val="20"/>
                <w:szCs w:val="20"/>
              </w:rPr>
              <w:t>to make independent reading selections.</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14:paraId="1D5B2F5D" w14:textId="77777777" w:rsidR="00F672AE" w:rsidRPr="00B91D61" w:rsidRDefault="00F672AE" w:rsidP="00B91D61">
            <w:pPr>
              <w:autoSpaceDE w:val="0"/>
              <w:autoSpaceDN w:val="0"/>
              <w:adjustRightInd w:val="0"/>
              <w:ind w:left="0" w:firstLine="0"/>
              <w:rPr>
                <w:rFonts w:cs="Calibri"/>
                <w:color w:val="000000"/>
                <w:sz w:val="20"/>
                <w:szCs w:val="20"/>
              </w:rPr>
            </w:pPr>
            <w:r w:rsidRPr="00B91D61">
              <w:rPr>
                <w:rFonts w:cs="Calibri"/>
                <w:color w:val="000000"/>
                <w:sz w:val="20"/>
                <w:szCs w:val="20"/>
              </w:rPr>
              <w:t xml:space="preserve">Student </w:t>
            </w:r>
            <w:r w:rsidR="00B91D61">
              <w:rPr>
                <w:rFonts w:cs="Calibri"/>
                <w:color w:val="000000"/>
                <w:sz w:val="20"/>
                <w:szCs w:val="20"/>
              </w:rPr>
              <w:t>needs help employing</w:t>
            </w:r>
            <w:r w:rsidRPr="00B91D61">
              <w:rPr>
                <w:rFonts w:cs="Calibri"/>
                <w:color w:val="000000"/>
                <w:sz w:val="20"/>
                <w:szCs w:val="20"/>
              </w:rPr>
              <w:t xml:space="preserve"> pre-reading strategies to make predi</w:t>
            </w:r>
            <w:r w:rsidR="00B91D61">
              <w:rPr>
                <w:rFonts w:cs="Calibri"/>
                <w:color w:val="000000"/>
                <w:sz w:val="20"/>
                <w:szCs w:val="20"/>
              </w:rPr>
              <w:t xml:space="preserve">ctions, and to make </w:t>
            </w:r>
            <w:r w:rsidRPr="00B91D61">
              <w:rPr>
                <w:rFonts w:cs="Calibri"/>
                <w:color w:val="000000"/>
                <w:sz w:val="20"/>
                <w:szCs w:val="20"/>
              </w:rPr>
              <w:t>reading selections</w:t>
            </w:r>
            <w:r w:rsidR="00B91D61">
              <w:rPr>
                <w:rFonts w:cs="Calibri"/>
                <w:color w:val="000000"/>
                <w:sz w:val="20"/>
                <w:szCs w:val="20"/>
              </w:rPr>
              <w:t xml:space="preserve"> independently. More thought needs to be given to text selection and the purpose for reading.</w:t>
            </w:r>
          </w:p>
        </w:tc>
        <w:tc>
          <w:tcPr>
            <w:tcW w:w="3271" w:type="dxa"/>
            <w:tcBorders>
              <w:top w:val="single" w:sz="2" w:space="0" w:color="000000"/>
              <w:left w:val="single" w:sz="2" w:space="0" w:color="000000"/>
              <w:bottom w:val="single" w:sz="2" w:space="0" w:color="000000"/>
              <w:right w:val="single" w:sz="2" w:space="0" w:color="000000"/>
            </w:tcBorders>
            <w:shd w:val="clear" w:color="auto" w:fill="auto"/>
          </w:tcPr>
          <w:p w14:paraId="1D5B2F5E" w14:textId="77777777" w:rsidR="00F672AE" w:rsidRPr="00B91D61" w:rsidRDefault="00F672AE" w:rsidP="00B91D61">
            <w:pPr>
              <w:autoSpaceDE w:val="0"/>
              <w:autoSpaceDN w:val="0"/>
              <w:adjustRightInd w:val="0"/>
              <w:ind w:left="0" w:firstLine="0"/>
              <w:rPr>
                <w:rFonts w:cs="Calibri"/>
                <w:color w:val="000000"/>
                <w:sz w:val="20"/>
                <w:szCs w:val="20"/>
              </w:rPr>
            </w:pPr>
            <w:r w:rsidRPr="00B91D61">
              <w:rPr>
                <w:rFonts w:cs="Calibri"/>
                <w:color w:val="000000"/>
                <w:sz w:val="20"/>
                <w:szCs w:val="20"/>
              </w:rPr>
              <w:t>Student rarely employs pre-reading stra</w:t>
            </w:r>
            <w:r w:rsidR="00B91D61">
              <w:rPr>
                <w:rFonts w:cs="Calibri"/>
                <w:color w:val="000000"/>
                <w:sz w:val="20"/>
                <w:szCs w:val="20"/>
              </w:rPr>
              <w:t>tegies to make predictions, and</w:t>
            </w:r>
            <w:r w:rsidRPr="00B91D61">
              <w:rPr>
                <w:rFonts w:cs="Calibri"/>
                <w:color w:val="000000"/>
                <w:sz w:val="20"/>
                <w:szCs w:val="20"/>
              </w:rPr>
              <w:t xml:space="preserve"> to make independent reading selections.</w:t>
            </w:r>
            <w:r w:rsidR="00B91D61">
              <w:rPr>
                <w:rFonts w:cs="Calibri"/>
                <w:color w:val="000000"/>
                <w:sz w:val="20"/>
                <w:szCs w:val="20"/>
              </w:rPr>
              <w:t xml:space="preserve"> Much more attention needs to be given to the purpose for reading and how to get started (strategies).</w:t>
            </w:r>
          </w:p>
        </w:tc>
      </w:tr>
      <w:tr w:rsidR="00F672AE" w:rsidRPr="00F672AE" w14:paraId="1D5B2F65" w14:textId="77777777" w:rsidTr="00B91D61">
        <w:trPr>
          <w:trHeight w:val="2830"/>
        </w:trPr>
        <w:tc>
          <w:tcPr>
            <w:tcW w:w="2338" w:type="dxa"/>
            <w:tcBorders>
              <w:top w:val="single" w:sz="2" w:space="0" w:color="000000"/>
              <w:left w:val="single" w:sz="2" w:space="0" w:color="000000"/>
              <w:bottom w:val="single" w:sz="2" w:space="0" w:color="000000"/>
              <w:right w:val="single" w:sz="2" w:space="0" w:color="000000"/>
            </w:tcBorders>
          </w:tcPr>
          <w:p w14:paraId="1D5B2F60" w14:textId="77777777" w:rsidR="00F672AE" w:rsidRPr="00F672AE" w:rsidRDefault="00F672AE" w:rsidP="00B91D61">
            <w:pPr>
              <w:autoSpaceDE w:val="0"/>
              <w:autoSpaceDN w:val="0"/>
              <w:adjustRightInd w:val="0"/>
              <w:ind w:left="0" w:firstLine="0"/>
              <w:rPr>
                <w:rFonts w:cs="Calibri"/>
                <w:b/>
                <w:bCs/>
                <w:color w:val="000000"/>
                <w:sz w:val="20"/>
                <w:szCs w:val="20"/>
              </w:rPr>
            </w:pPr>
            <w:r w:rsidRPr="00F672AE">
              <w:rPr>
                <w:rFonts w:cs="Calibri"/>
                <w:b/>
                <w:bCs/>
                <w:color w:val="000000"/>
                <w:sz w:val="20"/>
                <w:szCs w:val="20"/>
              </w:rPr>
              <w:t xml:space="preserve">Comprehension and Interpretation </w:t>
            </w:r>
          </w:p>
        </w:tc>
        <w:tc>
          <w:tcPr>
            <w:tcW w:w="3367" w:type="dxa"/>
            <w:tcBorders>
              <w:top w:val="single" w:sz="2" w:space="0" w:color="000000"/>
              <w:left w:val="single" w:sz="2" w:space="0" w:color="000000"/>
              <w:bottom w:val="single" w:sz="2" w:space="0" w:color="000000"/>
              <w:right w:val="single" w:sz="2" w:space="0" w:color="000000"/>
            </w:tcBorders>
          </w:tcPr>
          <w:p w14:paraId="1D5B2F61"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Student understands almost all reading materials, can </w:t>
            </w:r>
            <w:r w:rsidR="00B91D61">
              <w:rPr>
                <w:rFonts w:cs="Calibri"/>
                <w:color w:val="000000"/>
                <w:sz w:val="20"/>
                <w:szCs w:val="20"/>
              </w:rPr>
              <w:t xml:space="preserve">confidently </w:t>
            </w:r>
            <w:r w:rsidRPr="00F672AE">
              <w:rPr>
                <w:rFonts w:cs="Calibri"/>
                <w:color w:val="000000"/>
                <w:sz w:val="20"/>
                <w:szCs w:val="20"/>
              </w:rPr>
              <w:t>explain the explicit and implicit messages in a text,  can explain how the ideas are organized and how the conventions and techniques achieve a particular effect and can provide an insightful interpretation and give strong evidence to support his/her  response.</w:t>
            </w:r>
          </w:p>
        </w:tc>
        <w:tc>
          <w:tcPr>
            <w:tcW w:w="3353" w:type="dxa"/>
            <w:tcBorders>
              <w:top w:val="single" w:sz="2" w:space="0" w:color="000000"/>
              <w:left w:val="single" w:sz="2" w:space="0" w:color="000000"/>
              <w:bottom w:val="single" w:sz="2" w:space="0" w:color="000000"/>
              <w:right w:val="single" w:sz="2" w:space="0" w:color="000000"/>
            </w:tcBorders>
          </w:tcPr>
          <w:p w14:paraId="1D5B2F62" w14:textId="77777777" w:rsidR="00F672AE" w:rsidRPr="00F672AE" w:rsidRDefault="00B91D61" w:rsidP="00B91D61">
            <w:pPr>
              <w:autoSpaceDE w:val="0"/>
              <w:autoSpaceDN w:val="0"/>
              <w:adjustRightInd w:val="0"/>
              <w:ind w:left="0" w:firstLine="0"/>
              <w:rPr>
                <w:rFonts w:cs="Calibri"/>
                <w:color w:val="000000"/>
                <w:sz w:val="20"/>
                <w:szCs w:val="20"/>
              </w:rPr>
            </w:pPr>
            <w:r>
              <w:rPr>
                <w:rFonts w:cs="Calibri"/>
                <w:color w:val="000000"/>
                <w:sz w:val="20"/>
                <w:szCs w:val="20"/>
              </w:rPr>
              <w:t>Student has an</w:t>
            </w:r>
            <w:r w:rsidR="00F672AE" w:rsidRPr="00F672AE">
              <w:rPr>
                <w:rFonts w:cs="Calibri"/>
                <w:color w:val="000000"/>
                <w:sz w:val="20"/>
                <w:szCs w:val="20"/>
              </w:rPr>
              <w:t xml:space="preserve"> understanding of selections,  can understand the overall message, key ideas, and their supporting d</w:t>
            </w:r>
            <w:r>
              <w:rPr>
                <w:rFonts w:cs="Calibri"/>
                <w:color w:val="000000"/>
                <w:sz w:val="20"/>
                <w:szCs w:val="20"/>
              </w:rPr>
              <w:t>etails. Student exhibits an</w:t>
            </w:r>
            <w:r w:rsidR="00F672AE" w:rsidRPr="00F672AE">
              <w:rPr>
                <w:rFonts w:cs="Calibri"/>
                <w:color w:val="000000"/>
                <w:sz w:val="20"/>
                <w:szCs w:val="20"/>
              </w:rPr>
              <w:t xml:space="preserve"> understanding of how the text is organized and recognizes the key conventions and techniqu</w:t>
            </w:r>
            <w:r>
              <w:rPr>
                <w:rFonts w:cs="Calibri"/>
                <w:color w:val="000000"/>
                <w:sz w:val="20"/>
                <w:szCs w:val="20"/>
              </w:rPr>
              <w:t>es used to achieve an effect. Student</w:t>
            </w:r>
            <w:r w:rsidR="00F672AE" w:rsidRPr="00F672AE">
              <w:rPr>
                <w:rFonts w:cs="Calibri"/>
                <w:color w:val="000000"/>
                <w:sz w:val="20"/>
                <w:szCs w:val="20"/>
              </w:rPr>
              <w:t xml:space="preserve"> provides a thoughtful interpretation with reasonable evidence to support his/her response. </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14:paraId="1D5B2F63" w14:textId="77777777" w:rsidR="00F672AE" w:rsidRPr="00B91D61" w:rsidRDefault="00F672AE" w:rsidP="00B91D61">
            <w:pPr>
              <w:autoSpaceDE w:val="0"/>
              <w:autoSpaceDN w:val="0"/>
              <w:adjustRightInd w:val="0"/>
              <w:ind w:left="0" w:firstLine="0"/>
              <w:rPr>
                <w:rFonts w:cs="Calibri"/>
                <w:color w:val="000000"/>
                <w:sz w:val="20"/>
                <w:szCs w:val="20"/>
              </w:rPr>
            </w:pPr>
            <w:r w:rsidRPr="00B91D61">
              <w:rPr>
                <w:rFonts w:cs="Calibri"/>
                <w:color w:val="000000"/>
                <w:sz w:val="20"/>
                <w:szCs w:val="20"/>
              </w:rPr>
              <w:t>Student understands most selections, and identifies most of the important ideas and details that support them, how the ideas are organized and the key conventions and techniques. Student offers an adequate interpretation and provides some evidenc</w:t>
            </w:r>
            <w:r w:rsidR="00B91D61">
              <w:rPr>
                <w:rFonts w:cs="Calibri"/>
                <w:color w:val="000000"/>
                <w:sz w:val="20"/>
                <w:szCs w:val="20"/>
              </w:rPr>
              <w:t>e to support it. Some help was needed with enriching ideas and interpretations.</w:t>
            </w:r>
          </w:p>
        </w:tc>
        <w:tc>
          <w:tcPr>
            <w:tcW w:w="3271" w:type="dxa"/>
            <w:tcBorders>
              <w:top w:val="single" w:sz="2" w:space="0" w:color="000000"/>
              <w:left w:val="single" w:sz="2" w:space="0" w:color="000000"/>
              <w:bottom w:val="single" w:sz="2" w:space="0" w:color="000000"/>
              <w:right w:val="single" w:sz="2" w:space="0" w:color="000000"/>
            </w:tcBorders>
            <w:shd w:val="clear" w:color="auto" w:fill="auto"/>
          </w:tcPr>
          <w:p w14:paraId="1D5B2F64" w14:textId="77777777" w:rsidR="00F672AE" w:rsidRPr="00B91D61" w:rsidRDefault="00F672AE" w:rsidP="00B91D61">
            <w:pPr>
              <w:autoSpaceDE w:val="0"/>
              <w:autoSpaceDN w:val="0"/>
              <w:adjustRightInd w:val="0"/>
              <w:ind w:left="0" w:firstLine="0"/>
              <w:rPr>
                <w:rFonts w:cs="Calibri"/>
                <w:color w:val="000000"/>
                <w:sz w:val="20"/>
                <w:szCs w:val="20"/>
              </w:rPr>
            </w:pPr>
            <w:r w:rsidRPr="00B91D61">
              <w:rPr>
                <w:rFonts w:cs="Calibri"/>
                <w:color w:val="000000"/>
                <w:sz w:val="20"/>
                <w:szCs w:val="20"/>
              </w:rPr>
              <w:t>Student understand</w:t>
            </w:r>
            <w:r w:rsidR="00B91D61">
              <w:rPr>
                <w:rFonts w:cs="Calibri"/>
                <w:color w:val="000000"/>
                <w:sz w:val="20"/>
                <w:szCs w:val="20"/>
              </w:rPr>
              <w:t>s</w:t>
            </w:r>
            <w:r w:rsidRPr="00B91D61">
              <w:rPr>
                <w:rFonts w:cs="Calibri"/>
                <w:color w:val="000000"/>
                <w:sz w:val="20"/>
                <w:szCs w:val="20"/>
              </w:rPr>
              <w:t xml:space="preserve"> some selections but</w:t>
            </w:r>
            <w:r w:rsidR="00B91D61">
              <w:rPr>
                <w:rFonts w:cs="Calibri"/>
                <w:color w:val="000000"/>
                <w:sz w:val="20"/>
                <w:szCs w:val="20"/>
              </w:rPr>
              <w:t xml:space="preserve"> may not be able to recall, or </w:t>
            </w:r>
            <w:r w:rsidRPr="00B91D61">
              <w:rPr>
                <w:rFonts w:cs="Calibri"/>
                <w:color w:val="000000"/>
                <w:sz w:val="20"/>
                <w:szCs w:val="20"/>
              </w:rPr>
              <w:t>understand the message, conventions or techniques that are used. Student usually gives a simple or inadequate interpretation or gives little evidence to support interpretation.</w:t>
            </w:r>
            <w:r w:rsidR="00B91D61">
              <w:rPr>
                <w:rFonts w:cs="Calibri"/>
                <w:color w:val="000000"/>
                <w:sz w:val="20"/>
                <w:szCs w:val="20"/>
              </w:rPr>
              <w:t xml:space="preserve"> Much more time must be spent with the text, using comprehension strategies to gain meaning.</w:t>
            </w:r>
          </w:p>
        </w:tc>
      </w:tr>
      <w:tr w:rsidR="00F672AE" w:rsidRPr="00F672AE" w14:paraId="1D5B2F6B" w14:textId="77777777" w:rsidTr="00B91D61">
        <w:trPr>
          <w:trHeight w:val="2033"/>
        </w:trPr>
        <w:tc>
          <w:tcPr>
            <w:tcW w:w="2338" w:type="dxa"/>
            <w:tcBorders>
              <w:top w:val="single" w:sz="2" w:space="0" w:color="000000"/>
              <w:left w:val="single" w:sz="2" w:space="0" w:color="000000"/>
              <w:bottom w:val="single" w:sz="2" w:space="0" w:color="000000"/>
              <w:right w:val="single" w:sz="2" w:space="0" w:color="000000"/>
            </w:tcBorders>
          </w:tcPr>
          <w:p w14:paraId="1D5B2F66" w14:textId="77777777" w:rsidR="00F672AE" w:rsidRPr="00F672AE" w:rsidRDefault="00F672AE" w:rsidP="00B91D61">
            <w:pPr>
              <w:autoSpaceDE w:val="0"/>
              <w:autoSpaceDN w:val="0"/>
              <w:adjustRightInd w:val="0"/>
              <w:ind w:left="0" w:firstLine="0"/>
              <w:rPr>
                <w:rFonts w:cs="Calibri"/>
                <w:b/>
                <w:bCs/>
                <w:color w:val="000000"/>
                <w:sz w:val="20"/>
                <w:szCs w:val="20"/>
              </w:rPr>
            </w:pPr>
            <w:r w:rsidRPr="00F672AE">
              <w:rPr>
                <w:rFonts w:cs="Calibri"/>
                <w:b/>
                <w:bCs/>
                <w:color w:val="000000"/>
                <w:sz w:val="20"/>
                <w:szCs w:val="20"/>
              </w:rPr>
              <w:t>Oral Fluency and Expression</w:t>
            </w:r>
          </w:p>
        </w:tc>
        <w:tc>
          <w:tcPr>
            <w:tcW w:w="3367" w:type="dxa"/>
            <w:tcBorders>
              <w:top w:val="single" w:sz="2" w:space="0" w:color="000000"/>
              <w:left w:val="single" w:sz="2" w:space="0" w:color="000000"/>
              <w:bottom w:val="single" w:sz="2" w:space="0" w:color="000000"/>
              <w:right w:val="single" w:sz="2" w:space="0" w:color="000000"/>
            </w:tcBorders>
          </w:tcPr>
          <w:p w14:paraId="1D5B2F67" w14:textId="77777777" w:rsidR="00F672AE" w:rsidRPr="00F672AE" w:rsidRDefault="00B91D61" w:rsidP="00B91D61">
            <w:pPr>
              <w:autoSpaceDE w:val="0"/>
              <w:autoSpaceDN w:val="0"/>
              <w:adjustRightInd w:val="0"/>
              <w:ind w:left="0" w:firstLine="0"/>
              <w:rPr>
                <w:rFonts w:cs="Calibri"/>
                <w:color w:val="000000"/>
                <w:sz w:val="20"/>
                <w:szCs w:val="20"/>
              </w:rPr>
            </w:pPr>
            <w:r>
              <w:rPr>
                <w:rFonts w:cs="Calibri"/>
                <w:color w:val="000000"/>
                <w:sz w:val="20"/>
                <w:szCs w:val="20"/>
              </w:rPr>
              <w:t>Consistently reads well above 150</w:t>
            </w:r>
            <w:r w:rsidR="00F672AE" w:rsidRPr="00F672AE">
              <w:rPr>
                <w:rFonts w:cs="Calibri"/>
                <w:color w:val="000000"/>
                <w:sz w:val="20"/>
                <w:szCs w:val="20"/>
              </w:rPr>
              <w:t xml:space="preserve"> words per minute with powerful pauses, emphasis, expression and proper pronunciation allowing the listener to enjoy, and visualize the selection.</w:t>
            </w:r>
          </w:p>
        </w:tc>
        <w:tc>
          <w:tcPr>
            <w:tcW w:w="3353" w:type="dxa"/>
            <w:tcBorders>
              <w:top w:val="single" w:sz="2" w:space="0" w:color="000000"/>
              <w:left w:val="single" w:sz="2" w:space="0" w:color="000000"/>
              <w:bottom w:val="single" w:sz="2" w:space="0" w:color="000000"/>
              <w:right w:val="single" w:sz="2" w:space="0" w:color="000000"/>
            </w:tcBorders>
          </w:tcPr>
          <w:p w14:paraId="1D5B2F68" w14:textId="77777777" w:rsidR="00F672AE" w:rsidRPr="00F672AE" w:rsidRDefault="00B91D61" w:rsidP="00B91D61">
            <w:pPr>
              <w:autoSpaceDE w:val="0"/>
              <w:autoSpaceDN w:val="0"/>
              <w:adjustRightInd w:val="0"/>
              <w:ind w:left="0" w:firstLine="0"/>
              <w:rPr>
                <w:rFonts w:cs="Calibri"/>
                <w:color w:val="000000"/>
                <w:sz w:val="20"/>
                <w:szCs w:val="20"/>
              </w:rPr>
            </w:pPr>
            <w:r>
              <w:rPr>
                <w:rFonts w:cs="Calibri"/>
                <w:color w:val="000000"/>
                <w:sz w:val="20"/>
                <w:szCs w:val="20"/>
              </w:rPr>
              <w:t>Consistently reads at around</w:t>
            </w:r>
            <w:r w:rsidR="00F672AE" w:rsidRPr="00F672AE">
              <w:rPr>
                <w:rFonts w:cs="Calibri"/>
                <w:color w:val="000000"/>
                <w:sz w:val="20"/>
                <w:szCs w:val="20"/>
              </w:rPr>
              <w:t xml:space="preserve"> 150 words per minute  with pauses, emphasis, expression and proper pronunciation allowing the reader to understand the selection.</w:t>
            </w:r>
          </w:p>
        </w:tc>
        <w:tc>
          <w:tcPr>
            <w:tcW w:w="3240" w:type="dxa"/>
            <w:tcBorders>
              <w:top w:val="single" w:sz="2" w:space="0" w:color="000000"/>
              <w:left w:val="single" w:sz="2" w:space="0" w:color="000000"/>
              <w:bottom w:val="single" w:sz="2" w:space="0" w:color="000000"/>
              <w:right w:val="single" w:sz="2" w:space="0" w:color="000000"/>
            </w:tcBorders>
          </w:tcPr>
          <w:p w14:paraId="1D5B2F69"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Often reads </w:t>
            </w:r>
            <w:r w:rsidR="00B91D61">
              <w:rPr>
                <w:rFonts w:cs="Calibri"/>
                <w:color w:val="000000"/>
                <w:sz w:val="20"/>
                <w:szCs w:val="20"/>
              </w:rPr>
              <w:t xml:space="preserve">somewhat </w:t>
            </w:r>
            <w:r w:rsidRPr="00F672AE">
              <w:rPr>
                <w:rFonts w:cs="Calibri"/>
                <w:color w:val="000000"/>
                <w:sz w:val="20"/>
                <w:szCs w:val="20"/>
              </w:rPr>
              <w:t>under 150 words per minute.  Student should attend to punctuation, pronunciation, use of pauses, emphasis &amp; expression to enhance the listening experience.</w:t>
            </w:r>
          </w:p>
        </w:tc>
        <w:tc>
          <w:tcPr>
            <w:tcW w:w="3271" w:type="dxa"/>
            <w:tcBorders>
              <w:top w:val="single" w:sz="2" w:space="0" w:color="000000"/>
              <w:left w:val="single" w:sz="2" w:space="0" w:color="000000"/>
              <w:bottom w:val="single" w:sz="2" w:space="0" w:color="000000"/>
              <w:right w:val="single" w:sz="2" w:space="0" w:color="000000"/>
            </w:tcBorders>
          </w:tcPr>
          <w:p w14:paraId="1D5B2F6A"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Often reads </w:t>
            </w:r>
            <w:r w:rsidR="00B91D61">
              <w:rPr>
                <w:rFonts w:cs="Calibri"/>
                <w:color w:val="000000"/>
                <w:sz w:val="20"/>
                <w:szCs w:val="20"/>
              </w:rPr>
              <w:t>well under 150</w:t>
            </w:r>
            <w:r w:rsidRPr="00F672AE">
              <w:rPr>
                <w:rFonts w:cs="Calibri"/>
                <w:color w:val="000000"/>
                <w:sz w:val="20"/>
                <w:szCs w:val="20"/>
              </w:rPr>
              <w:t xml:space="preserve"> words per minute. Improved attention to punctuation, varried expression, and timing are needed to improve student's oral reading.</w:t>
            </w:r>
          </w:p>
        </w:tc>
      </w:tr>
      <w:tr w:rsidR="00F672AE" w:rsidRPr="00F672AE" w14:paraId="1D5B2F71" w14:textId="77777777" w:rsidTr="00B91D61">
        <w:trPr>
          <w:trHeight w:val="638"/>
        </w:trPr>
        <w:tc>
          <w:tcPr>
            <w:tcW w:w="2338" w:type="dxa"/>
            <w:tcBorders>
              <w:top w:val="single" w:sz="2" w:space="0" w:color="000000"/>
              <w:left w:val="single" w:sz="2" w:space="0" w:color="000000"/>
              <w:bottom w:val="single" w:sz="2" w:space="0" w:color="000000"/>
              <w:right w:val="single" w:sz="2" w:space="0" w:color="000000"/>
            </w:tcBorders>
          </w:tcPr>
          <w:p w14:paraId="1D5B2F6C" w14:textId="77777777" w:rsidR="00F672AE" w:rsidRPr="00F672AE" w:rsidRDefault="00F672AE" w:rsidP="00B91D61">
            <w:pPr>
              <w:autoSpaceDE w:val="0"/>
              <w:autoSpaceDN w:val="0"/>
              <w:adjustRightInd w:val="0"/>
              <w:ind w:left="0" w:firstLine="0"/>
              <w:rPr>
                <w:rFonts w:cs="Calibri"/>
                <w:b/>
                <w:bCs/>
                <w:color w:val="000000"/>
                <w:sz w:val="20"/>
                <w:szCs w:val="20"/>
              </w:rPr>
            </w:pPr>
            <w:r w:rsidRPr="00F672AE">
              <w:rPr>
                <w:rFonts w:cs="Calibri"/>
                <w:b/>
                <w:bCs/>
                <w:color w:val="000000"/>
                <w:sz w:val="20"/>
                <w:szCs w:val="20"/>
              </w:rPr>
              <w:t>Silent Reading Rates</w:t>
            </w:r>
          </w:p>
        </w:tc>
        <w:tc>
          <w:tcPr>
            <w:tcW w:w="3367" w:type="dxa"/>
            <w:tcBorders>
              <w:top w:val="single" w:sz="2" w:space="0" w:color="000000"/>
              <w:left w:val="single" w:sz="2" w:space="0" w:color="000000"/>
              <w:bottom w:val="single" w:sz="2" w:space="0" w:color="000000"/>
              <w:right w:val="single" w:sz="2" w:space="0" w:color="000000"/>
            </w:tcBorders>
          </w:tcPr>
          <w:p w14:paraId="1D5B2F6D"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Consistently reads above 260 words per minute.</w:t>
            </w:r>
          </w:p>
        </w:tc>
        <w:tc>
          <w:tcPr>
            <w:tcW w:w="3353" w:type="dxa"/>
            <w:tcBorders>
              <w:top w:val="single" w:sz="2" w:space="0" w:color="000000"/>
              <w:left w:val="single" w:sz="2" w:space="0" w:color="000000"/>
              <w:bottom w:val="single" w:sz="2" w:space="0" w:color="000000"/>
              <w:right w:val="single" w:sz="2" w:space="0" w:color="000000"/>
            </w:tcBorders>
          </w:tcPr>
          <w:p w14:paraId="1D5B2F6E"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Consistently reads 215-260 words per minute silently.</w:t>
            </w:r>
          </w:p>
        </w:tc>
        <w:tc>
          <w:tcPr>
            <w:tcW w:w="3240" w:type="dxa"/>
            <w:tcBorders>
              <w:top w:val="single" w:sz="2" w:space="0" w:color="000000"/>
              <w:left w:val="single" w:sz="2" w:space="0" w:color="000000"/>
              <w:bottom w:val="single" w:sz="2" w:space="0" w:color="000000"/>
              <w:right w:val="single" w:sz="2" w:space="0" w:color="000000"/>
            </w:tcBorders>
          </w:tcPr>
          <w:p w14:paraId="1D5B2F6F"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Often reads </w:t>
            </w:r>
            <w:r w:rsidR="00B91D61">
              <w:rPr>
                <w:rFonts w:cs="Calibri"/>
                <w:color w:val="000000"/>
                <w:sz w:val="20"/>
                <w:szCs w:val="20"/>
              </w:rPr>
              <w:t xml:space="preserve">somewhat </w:t>
            </w:r>
            <w:r w:rsidRPr="00F672AE">
              <w:rPr>
                <w:rFonts w:cs="Calibri"/>
                <w:color w:val="000000"/>
                <w:sz w:val="20"/>
                <w:szCs w:val="20"/>
              </w:rPr>
              <w:t>under 215 words per minute.</w:t>
            </w:r>
          </w:p>
        </w:tc>
        <w:tc>
          <w:tcPr>
            <w:tcW w:w="3271" w:type="dxa"/>
            <w:tcBorders>
              <w:top w:val="single" w:sz="2" w:space="0" w:color="000000"/>
              <w:left w:val="single" w:sz="2" w:space="0" w:color="000000"/>
              <w:bottom w:val="single" w:sz="2" w:space="0" w:color="000000"/>
              <w:right w:val="single" w:sz="2" w:space="0" w:color="000000"/>
            </w:tcBorders>
          </w:tcPr>
          <w:p w14:paraId="1D5B2F70" w14:textId="77777777" w:rsidR="00F672AE" w:rsidRPr="00F672AE" w:rsidRDefault="00F672AE" w:rsidP="00B91D61">
            <w:pPr>
              <w:autoSpaceDE w:val="0"/>
              <w:autoSpaceDN w:val="0"/>
              <w:adjustRightInd w:val="0"/>
              <w:ind w:left="0" w:firstLine="0"/>
              <w:rPr>
                <w:rFonts w:cs="Calibri"/>
                <w:color w:val="000000"/>
                <w:sz w:val="20"/>
                <w:szCs w:val="20"/>
              </w:rPr>
            </w:pPr>
            <w:r w:rsidRPr="00F672AE">
              <w:rPr>
                <w:rFonts w:cs="Calibri"/>
                <w:color w:val="000000"/>
                <w:sz w:val="20"/>
                <w:szCs w:val="20"/>
              </w:rPr>
              <w:t xml:space="preserve">Often reads </w:t>
            </w:r>
            <w:r w:rsidR="00B91D61">
              <w:rPr>
                <w:rFonts w:cs="Calibri"/>
                <w:color w:val="000000"/>
                <w:sz w:val="20"/>
                <w:szCs w:val="20"/>
              </w:rPr>
              <w:t xml:space="preserve">well under 215 </w:t>
            </w:r>
            <w:r w:rsidRPr="00F672AE">
              <w:rPr>
                <w:rFonts w:cs="Calibri"/>
                <w:color w:val="000000"/>
                <w:sz w:val="20"/>
                <w:szCs w:val="20"/>
              </w:rPr>
              <w:t>words per minute.</w:t>
            </w:r>
          </w:p>
        </w:tc>
      </w:tr>
    </w:tbl>
    <w:p w14:paraId="1D5B2F72" w14:textId="77777777" w:rsidR="00D7758B" w:rsidRPr="00B91D61" w:rsidRDefault="00D7758B" w:rsidP="00B91D61">
      <w:pPr>
        <w:rPr>
          <w:sz w:val="28"/>
          <w:szCs w:val="28"/>
          <w:u w:val="single"/>
        </w:rPr>
      </w:pPr>
    </w:p>
    <w:sectPr w:rsidR="00D7758B" w:rsidRPr="00B91D61" w:rsidSect="00F672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72AE"/>
    <w:rsid w:val="002054AC"/>
    <w:rsid w:val="004B58BD"/>
    <w:rsid w:val="00A874AA"/>
    <w:rsid w:val="00B91D61"/>
    <w:rsid w:val="00D7758B"/>
    <w:rsid w:val="00F6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2F4B"/>
  <w15:docId w15:val="{DA486473-5B8F-4283-A551-0FBC1E1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2AE"/>
    <w:rPr>
      <w:rFonts w:ascii="Tahoma" w:hAnsi="Tahoma" w:cs="Tahoma"/>
      <w:sz w:val="16"/>
      <w:szCs w:val="16"/>
    </w:rPr>
  </w:style>
  <w:style w:type="character" w:customStyle="1" w:styleId="BalloonTextChar">
    <w:name w:val="Balloon Text Char"/>
    <w:basedOn w:val="DefaultParagraphFont"/>
    <w:link w:val="BalloonText"/>
    <w:uiPriority w:val="99"/>
    <w:semiHidden/>
    <w:rsid w:val="00F67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1073CA50B3D4E8F85B680B74E212F" ma:contentTypeVersion="0" ma:contentTypeDescription="Create a new document." ma:contentTypeScope="" ma:versionID="fb5a6eb6834f86faeb44d14989c6c11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FC6F0-80C5-49BA-8644-0DB31CD3988B}">
  <ds:schemaRefs>
    <ds:schemaRef ds:uri="http://schemas.microsoft.com/sharepoint/v3/contenttype/forms"/>
  </ds:schemaRefs>
</ds:datastoreItem>
</file>

<file path=customXml/itemProps2.xml><?xml version="1.0" encoding="utf-8"?>
<ds:datastoreItem xmlns:ds="http://schemas.openxmlformats.org/officeDocument/2006/customXml" ds:itemID="{FE2641C5-ECE5-4F57-907C-8CE160CDF4CB}">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224DEAB-1E51-4A46-95DB-0A5CD0E01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2024-08-22T15:17:00Z</dcterms:created>
  <dcterms:modified xsi:type="dcterms:W3CDTF">2024-08-22T15:17:00Z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0x0101009851073CA50B3D4E8F85B680B74E212F</vt:lpwstr>
  </property>
</Properties>
</file>