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2594"/>
        <w:gridCol w:w="3142"/>
        <w:gridCol w:w="3029"/>
        <w:gridCol w:w="3014"/>
        <w:gridCol w:w="2711"/>
      </w:tblGrid>
      <w:tr w:rsidR="00AB5E01" w:rsidRPr="007C2CD9" w14:paraId="585EDB5E" w14:textId="77777777" w:rsidTr="007C2CD9">
        <w:trPr>
          <w:trHeight w:val="362"/>
        </w:trPr>
        <w:tc>
          <w:tcPr>
            <w:tcW w:w="14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5D" w14:textId="77777777" w:rsidR="00AB5E01" w:rsidRPr="007C2CD9" w:rsidRDefault="00AB5E0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Multi-media presentation                                      Name:</w:t>
            </w:r>
          </w:p>
        </w:tc>
      </w:tr>
      <w:tr w:rsidR="007C2CD9" w:rsidRPr="007C2CD9" w14:paraId="585EDB60" w14:textId="77777777" w:rsidTr="007C2CD9">
        <w:trPr>
          <w:trHeight w:val="362"/>
        </w:trPr>
        <w:tc>
          <w:tcPr>
            <w:tcW w:w="14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5F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7C2CD9">
              <w:rPr>
                <w:rFonts w:cs="Calibri"/>
                <w:b/>
                <w:bCs/>
                <w:color w:val="000000"/>
                <w:sz w:val="28"/>
                <w:szCs w:val="28"/>
              </w:rPr>
              <w:t>Carefully Read the Criteria Before Beginning the Project.  Complete the Self Reflection &amp; Hand in this Sheet with Project.</w:t>
            </w:r>
          </w:p>
        </w:tc>
      </w:tr>
      <w:tr w:rsidR="007C2CD9" w:rsidRPr="007C2CD9" w14:paraId="585EDB62" w14:textId="77777777" w:rsidTr="007C2CD9">
        <w:trPr>
          <w:trHeight w:val="566"/>
        </w:trPr>
        <w:tc>
          <w:tcPr>
            <w:tcW w:w="14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61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C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CR9.4a </w:t>
            </w:r>
            <w:r w:rsidRPr="007C2CD9">
              <w:rPr>
                <w:rFonts w:ascii="Arial" w:hAnsi="Arial" w:cs="Arial"/>
                <w:color w:val="000000"/>
                <w:sz w:val="20"/>
                <w:szCs w:val="20"/>
              </w:rPr>
              <w:t>View &amp; demonstrate comprehension of visual &amp; multimedia texts including illustrations, maps, charts, graphs, pamphlets, photography, art works, video clips, &amp; dramatizations to glean ideas suitable for identified audience &amp; purpose.</w:t>
            </w:r>
          </w:p>
        </w:tc>
      </w:tr>
      <w:tr w:rsidR="007C2CD9" w:rsidRPr="007C2CD9" w14:paraId="585EDB64" w14:textId="77777777" w:rsidTr="007C2CD9">
        <w:trPr>
          <w:trHeight w:val="449"/>
        </w:trPr>
        <w:tc>
          <w:tcPr>
            <w:tcW w:w="14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63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C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CR9.4b </w:t>
            </w:r>
            <w:r w:rsidRPr="007C2CD9">
              <w:rPr>
                <w:rFonts w:ascii="Arial" w:hAnsi="Arial" w:cs="Arial"/>
                <w:color w:val="000000"/>
                <w:sz w:val="20"/>
                <w:szCs w:val="20"/>
              </w:rPr>
              <w:t>View &amp; demonstrate comprehension of visual &amp; multimedia texts to synthesize &amp; summarize ideas from multiple visual &amp; multimedia sources.</w:t>
            </w:r>
          </w:p>
        </w:tc>
      </w:tr>
      <w:tr w:rsidR="007C2CD9" w:rsidRPr="007C2CD9" w14:paraId="585EDB66" w14:textId="77777777" w:rsidTr="007C2CD9">
        <w:trPr>
          <w:trHeight w:val="420"/>
        </w:trPr>
        <w:tc>
          <w:tcPr>
            <w:tcW w:w="14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65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C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CC9.5a</w:t>
            </w:r>
            <w:r w:rsidRPr="007C2CD9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&amp; present a variety of visual &amp; multimedia presentations to best represent message for an intended audience &amp; purpose.</w:t>
            </w:r>
          </w:p>
        </w:tc>
      </w:tr>
      <w:tr w:rsidR="007C2CD9" w:rsidRPr="007C2CD9" w14:paraId="585EDB6C" w14:textId="77777777" w:rsidTr="007C2CD9">
        <w:trPr>
          <w:trHeight w:val="290"/>
        </w:trPr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67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  <w:r w:rsidRPr="007C2CD9">
              <w:rPr>
                <w:rFonts w:cs="Calibri"/>
                <w:b/>
                <w:bCs/>
                <w:color w:val="000000"/>
              </w:rPr>
              <w:t>Criteria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68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  <w:r w:rsidRPr="007C2CD9">
              <w:rPr>
                <w:rFonts w:cs="Calibri"/>
                <w:b/>
                <w:bCs/>
                <w:color w:val="000000"/>
              </w:rPr>
              <w:t>Magnificent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69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  <w:r w:rsidRPr="007C2CD9">
              <w:rPr>
                <w:rFonts w:cs="Calibri"/>
                <w:b/>
                <w:bCs/>
                <w:color w:val="000000"/>
              </w:rPr>
              <w:t>Mastered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6A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  <w:r w:rsidRPr="007C2CD9">
              <w:rPr>
                <w:rFonts w:cs="Calibri"/>
                <w:b/>
                <w:bCs/>
                <w:color w:val="000000"/>
              </w:rPr>
              <w:t>Mustered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6B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  <w:r w:rsidRPr="007C2CD9">
              <w:rPr>
                <w:rFonts w:cs="Calibri"/>
                <w:b/>
                <w:bCs/>
                <w:color w:val="000000"/>
              </w:rPr>
              <w:t>Messed Up</w:t>
            </w:r>
          </w:p>
        </w:tc>
      </w:tr>
      <w:tr w:rsidR="007C2CD9" w:rsidRPr="007C2CD9" w14:paraId="585EDB74" w14:textId="77777777" w:rsidTr="007C2CD9">
        <w:trPr>
          <w:trHeight w:val="4500"/>
        </w:trPr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6D" w14:textId="77777777" w:rsid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  <w:r w:rsidRPr="007C2CD9">
              <w:rPr>
                <w:rFonts w:cs="Calibri"/>
                <w:b/>
                <w:bCs/>
                <w:color w:val="000000"/>
              </w:rPr>
              <w:t>Comprehension and Response to Multimedia selections and peer projects.</w:t>
            </w:r>
          </w:p>
          <w:p w14:paraId="585EDB6E" w14:textId="77777777" w:rsidR="00A55881" w:rsidRDefault="00A5588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</w:p>
          <w:p w14:paraId="585EDB6F" w14:textId="77777777" w:rsidR="00A55881" w:rsidRPr="00A55881" w:rsidRDefault="00A5588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i/>
                <w:color w:val="000000"/>
              </w:rPr>
            </w:pPr>
            <w:r>
              <w:rPr>
                <w:rFonts w:cs="Calibri"/>
                <w:b/>
                <w:bCs/>
                <w:i/>
                <w:color w:val="000000"/>
              </w:rPr>
              <w:t>Understanding the ideas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70" w14:textId="77777777" w:rsidR="007C2CD9" w:rsidRPr="007C2CD9" w:rsidRDefault="007C2CD9" w:rsidP="00AB5E01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Student understands all viewing &amp;  listening activities, can explain the explicit and implicit messages in a text</w:t>
            </w:r>
            <w:r w:rsidR="00AB5E01">
              <w:rPr>
                <w:rFonts w:cs="Calibri"/>
                <w:color w:val="000000"/>
              </w:rPr>
              <w:t>. Student</w:t>
            </w:r>
            <w:r w:rsidRPr="007C2CD9">
              <w:rPr>
                <w:rFonts w:cs="Calibri"/>
                <w:color w:val="000000"/>
              </w:rPr>
              <w:t xml:space="preserve"> can explain how the ideas are organized and how the conventions and techniques</w:t>
            </w:r>
            <w:r w:rsidR="00AB5E01">
              <w:rPr>
                <w:rFonts w:cs="Calibri"/>
                <w:color w:val="000000"/>
              </w:rPr>
              <w:t xml:space="preserve"> achieve a particular effect. They</w:t>
            </w:r>
            <w:r w:rsidRPr="007C2CD9">
              <w:rPr>
                <w:rFonts w:cs="Calibri"/>
                <w:color w:val="000000"/>
              </w:rPr>
              <w:t xml:space="preserve"> can provide an insightful interpretation and give stro</w:t>
            </w:r>
            <w:r w:rsidR="00AB5E01">
              <w:rPr>
                <w:rFonts w:cs="Calibri"/>
                <w:color w:val="000000"/>
              </w:rPr>
              <w:t xml:space="preserve">ng evidence to support his/her </w:t>
            </w:r>
            <w:r w:rsidRPr="007C2CD9">
              <w:rPr>
                <w:rFonts w:cs="Calibri"/>
                <w:color w:val="000000"/>
              </w:rPr>
              <w:t>response.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71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Student has a clea</w:t>
            </w:r>
            <w:r w:rsidR="00AB5E01">
              <w:rPr>
                <w:rFonts w:cs="Calibri"/>
                <w:color w:val="000000"/>
              </w:rPr>
              <w:t xml:space="preserve">r understanding of selections, </w:t>
            </w:r>
            <w:r w:rsidRPr="007C2CD9">
              <w:rPr>
                <w:rFonts w:cs="Calibri"/>
                <w:color w:val="000000"/>
              </w:rPr>
              <w:t xml:space="preserve">can understand the overall message, key ideas, and their supporting details. Student exhibits a clear understanding of how the text is organized and recognizes the key conventions and techniques used to achieve an effect and provides a thoughtful interpretation with reasonable evidence to support his/her response. 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72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 xml:space="preserve">Student </w:t>
            </w:r>
            <w:r w:rsidR="00AB5E01">
              <w:rPr>
                <w:rFonts w:cs="Calibri"/>
                <w:color w:val="000000"/>
              </w:rPr>
              <w:t>understands most selections and</w:t>
            </w:r>
            <w:r w:rsidRPr="007C2CD9">
              <w:rPr>
                <w:rFonts w:cs="Calibri"/>
                <w:color w:val="000000"/>
              </w:rPr>
              <w:t xml:space="preserve"> could identify </w:t>
            </w:r>
            <w:r w:rsidR="00AB5E01">
              <w:rPr>
                <w:rFonts w:cs="Calibri"/>
                <w:color w:val="000000"/>
              </w:rPr>
              <w:t xml:space="preserve">most of </w:t>
            </w:r>
            <w:r w:rsidRPr="007C2CD9">
              <w:rPr>
                <w:rFonts w:cs="Calibri"/>
                <w:color w:val="000000"/>
              </w:rPr>
              <w:t>the important ideas and the</w:t>
            </w:r>
            <w:r w:rsidR="00AB5E01">
              <w:rPr>
                <w:rFonts w:cs="Calibri"/>
                <w:color w:val="000000"/>
              </w:rPr>
              <w:t xml:space="preserve"> </w:t>
            </w:r>
            <w:r w:rsidRPr="007C2CD9">
              <w:rPr>
                <w:rFonts w:cs="Calibri"/>
                <w:color w:val="000000"/>
              </w:rPr>
              <w:t>details that support them.   Student could pay more attention to how the ideas are organized and the key conventions and techniques. Student offers an adequate interpretation and provide</w:t>
            </w:r>
            <w:r w:rsidR="00AB5E01">
              <w:rPr>
                <w:rFonts w:cs="Calibri"/>
                <w:color w:val="000000"/>
              </w:rPr>
              <w:t>s</w:t>
            </w:r>
            <w:r w:rsidRPr="007C2CD9">
              <w:rPr>
                <w:rFonts w:cs="Calibri"/>
                <w:color w:val="000000"/>
              </w:rPr>
              <w:t xml:space="preserve"> some evidence to support it</w:t>
            </w:r>
            <w:r w:rsidR="00AB5E01">
              <w:rPr>
                <w:rFonts w:cs="Calibri"/>
                <w:color w:val="000000"/>
              </w:rPr>
              <w:t xml:space="preserve"> but more time should be spent with the text to generate additional information to support interpretations and inferences.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73" w14:textId="77777777" w:rsidR="007C2CD9" w:rsidRPr="007C2CD9" w:rsidRDefault="007C2CD9" w:rsidP="00AB5E01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Student understands some selections</w:t>
            </w:r>
            <w:r w:rsidR="00AB5E01">
              <w:rPr>
                <w:rFonts w:cs="Calibri"/>
                <w:color w:val="000000"/>
              </w:rPr>
              <w:t xml:space="preserve">.  Student needs assistance to recall, or </w:t>
            </w:r>
            <w:r w:rsidRPr="007C2CD9">
              <w:rPr>
                <w:rFonts w:cs="Calibri"/>
                <w:color w:val="000000"/>
              </w:rPr>
              <w:t>explain the message. Student needs to think about conventions or techniques that are used. Student will need to give more de</w:t>
            </w:r>
            <w:r w:rsidR="00AB5E01">
              <w:rPr>
                <w:rFonts w:cs="Calibri"/>
                <w:color w:val="000000"/>
              </w:rPr>
              <w:t xml:space="preserve">tailed interpretation or offer </w:t>
            </w:r>
            <w:r w:rsidRPr="007C2CD9">
              <w:rPr>
                <w:rFonts w:cs="Calibri"/>
                <w:color w:val="000000"/>
              </w:rPr>
              <w:t>more evidence to support interpretation.</w:t>
            </w:r>
            <w:r w:rsidR="00AB5E01">
              <w:rPr>
                <w:rFonts w:cs="Calibri"/>
                <w:color w:val="000000"/>
              </w:rPr>
              <w:t xml:space="preserve"> Much more time needs to be spent with the text, uncovering messages, techniques and interpretations.</w:t>
            </w:r>
          </w:p>
        </w:tc>
      </w:tr>
      <w:tr w:rsidR="007C2CD9" w:rsidRPr="007C2CD9" w14:paraId="585EDB7C" w14:textId="77777777" w:rsidTr="007C2CD9">
        <w:trPr>
          <w:trHeight w:val="1452"/>
        </w:trPr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75" w14:textId="77777777" w:rsid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  <w:r w:rsidRPr="007C2CD9">
              <w:rPr>
                <w:rFonts w:cs="Calibri"/>
                <w:b/>
                <w:bCs/>
                <w:color w:val="000000"/>
              </w:rPr>
              <w:t>Preliminary Work</w:t>
            </w:r>
          </w:p>
          <w:p w14:paraId="585EDB76" w14:textId="77777777" w:rsidR="00A55881" w:rsidRDefault="00A5588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</w:p>
          <w:p w14:paraId="585EDB77" w14:textId="77777777" w:rsidR="00A55881" w:rsidRPr="00A55881" w:rsidRDefault="00A5588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i/>
                <w:color w:val="000000"/>
              </w:rPr>
            </w:pPr>
            <w:r>
              <w:rPr>
                <w:rFonts w:cs="Calibri"/>
                <w:b/>
                <w:bCs/>
                <w:i/>
                <w:color w:val="000000"/>
              </w:rPr>
              <w:t>B, D, A Strategies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78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 xml:space="preserve">Student identified focus, &amp; audience, selected key images, and or music and created </w:t>
            </w:r>
            <w:r w:rsidR="00AB5E01">
              <w:rPr>
                <w:rFonts w:cs="Calibri"/>
                <w:color w:val="000000"/>
              </w:rPr>
              <w:t xml:space="preserve">a strong </w:t>
            </w:r>
            <w:r w:rsidRPr="007C2CD9">
              <w:rPr>
                <w:rFonts w:cs="Calibri"/>
                <w:color w:val="000000"/>
              </w:rPr>
              <w:t>outline or story board</w:t>
            </w:r>
            <w:r w:rsidR="00AB5E01">
              <w:rPr>
                <w:rFonts w:cs="Calibri"/>
                <w:color w:val="000000"/>
              </w:rPr>
              <w:t xml:space="preserve"> that clearly linked to a successful finished product</w:t>
            </w:r>
            <w:r w:rsidRPr="007C2CD9">
              <w:rPr>
                <w:rFonts w:cs="Calibri"/>
                <w:color w:val="000000"/>
              </w:rPr>
              <w:t>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79" w14:textId="77777777" w:rsidR="007C2CD9" w:rsidRPr="007C2CD9" w:rsidRDefault="00AB5E0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Student thought about audience, gathered images</w:t>
            </w:r>
            <w:r w:rsidR="007C2CD9" w:rsidRPr="007C2CD9">
              <w:rPr>
                <w:rFonts w:cs="Calibri"/>
                <w:color w:val="000000"/>
              </w:rPr>
              <w:t>, information and or music and experimented with organizational details</w:t>
            </w:r>
            <w:r>
              <w:rPr>
                <w:rFonts w:cs="Calibri"/>
                <w:color w:val="000000"/>
              </w:rPr>
              <w:t xml:space="preserve"> which led to an appropriate finished product.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7A" w14:textId="77777777" w:rsidR="007C2CD9" w:rsidRPr="007C2CD9" w:rsidRDefault="00AB5E0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Student needs to </w:t>
            </w:r>
            <w:r w:rsidR="007C2CD9" w:rsidRPr="007C2CD9">
              <w:rPr>
                <w:rFonts w:cs="Calibri"/>
                <w:color w:val="000000"/>
              </w:rPr>
              <w:t>foc</w:t>
            </w:r>
            <w:r>
              <w:rPr>
                <w:rFonts w:cs="Calibri"/>
                <w:color w:val="000000"/>
              </w:rPr>
              <w:t>us more heavily on organization</w:t>
            </w:r>
            <w:r w:rsidR="007C2CD9" w:rsidRPr="007C2CD9">
              <w:rPr>
                <w:rFonts w:cs="Calibri"/>
                <w:color w:val="000000"/>
              </w:rPr>
              <w:t xml:space="preserve"> and audience as he/she gathers images, and information.</w:t>
            </w:r>
            <w:r>
              <w:rPr>
                <w:rFonts w:cs="Calibri"/>
                <w:color w:val="000000"/>
              </w:rPr>
              <w:t xml:space="preserve"> More time needs to be spent considering aspects of the text.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7B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Student should spend more time developing a sense of direction and audience prior to selecting images and information</w:t>
            </w:r>
            <w:r w:rsidR="00AB5E01">
              <w:rPr>
                <w:rFonts w:cs="Calibri"/>
                <w:color w:val="000000"/>
              </w:rPr>
              <w:t xml:space="preserve"> and sequencing the presentation</w:t>
            </w:r>
            <w:r w:rsidRPr="007C2CD9">
              <w:rPr>
                <w:rFonts w:cs="Calibri"/>
                <w:color w:val="000000"/>
              </w:rPr>
              <w:t>.</w:t>
            </w:r>
          </w:p>
        </w:tc>
      </w:tr>
      <w:tr w:rsidR="007C2CD9" w:rsidRPr="007C2CD9" w14:paraId="585EDB84" w14:textId="77777777" w:rsidTr="007C2CD9">
        <w:trPr>
          <w:trHeight w:val="1147"/>
        </w:trPr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7D" w14:textId="77777777" w:rsid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  <w:r w:rsidRPr="007C2CD9">
              <w:rPr>
                <w:rFonts w:cs="Calibri"/>
                <w:b/>
                <w:bCs/>
                <w:color w:val="000000"/>
              </w:rPr>
              <w:lastRenderedPageBreak/>
              <w:t>Content</w:t>
            </w:r>
          </w:p>
          <w:p w14:paraId="585EDB7E" w14:textId="77777777" w:rsidR="00A55881" w:rsidRDefault="00A5588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</w:p>
          <w:p w14:paraId="585EDB7F" w14:textId="77777777" w:rsidR="00A55881" w:rsidRPr="00A55881" w:rsidRDefault="00A5588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i/>
                <w:color w:val="000000"/>
              </w:rPr>
            </w:pPr>
            <w:r w:rsidRPr="00A55881">
              <w:rPr>
                <w:rFonts w:cs="Calibri"/>
                <w:b/>
                <w:bCs/>
                <w:i/>
                <w:color w:val="000000"/>
              </w:rPr>
              <w:t>Message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80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Information exceeds expectations, is detailed, accurate and appropriate for the audience</w:t>
            </w:r>
            <w:r w:rsidR="00AB5E01">
              <w:rPr>
                <w:rFonts w:cs="Calibri"/>
                <w:color w:val="000000"/>
              </w:rPr>
              <w:t xml:space="preserve"> and enhances the message</w:t>
            </w:r>
            <w:r w:rsidRPr="007C2CD9">
              <w:rPr>
                <w:rFonts w:cs="Calibri"/>
                <w:color w:val="000000"/>
              </w:rPr>
              <w:t>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81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Inf</w:t>
            </w:r>
            <w:r w:rsidR="00C93C83">
              <w:rPr>
                <w:rFonts w:cs="Calibri"/>
                <w:color w:val="000000"/>
              </w:rPr>
              <w:t xml:space="preserve">ormation is detailed, accurate and </w:t>
            </w:r>
            <w:r w:rsidRPr="007C2CD9">
              <w:rPr>
                <w:rFonts w:cs="Calibri"/>
                <w:color w:val="000000"/>
              </w:rPr>
              <w:t>relevant</w:t>
            </w:r>
            <w:r w:rsidR="00C93C83">
              <w:rPr>
                <w:rFonts w:cs="Calibri"/>
                <w:color w:val="000000"/>
              </w:rPr>
              <w:t xml:space="preserve"> and supports the overall message</w:t>
            </w:r>
            <w:r w:rsidRPr="007C2CD9">
              <w:rPr>
                <w:rFonts w:cs="Calibri"/>
                <w:color w:val="000000"/>
              </w:rPr>
              <w:t>.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82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 xml:space="preserve">Student needs to provide Information with more </w:t>
            </w:r>
            <w:r w:rsidR="00C93C83">
              <w:rPr>
                <w:rFonts w:cs="Calibri"/>
                <w:color w:val="000000"/>
              </w:rPr>
              <w:t>details, and check for accuracy</w:t>
            </w:r>
            <w:r w:rsidRPr="007C2CD9">
              <w:rPr>
                <w:rFonts w:cs="Calibri"/>
                <w:color w:val="000000"/>
              </w:rPr>
              <w:t>, or relevance.</w:t>
            </w:r>
            <w:r w:rsidR="00C93C83">
              <w:rPr>
                <w:rFonts w:cs="Calibri"/>
                <w:color w:val="000000"/>
              </w:rPr>
              <w:t xml:space="preserve"> The message needs to be considered more fully in order to develop the presentation.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83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More information is needed.</w:t>
            </w:r>
            <w:r w:rsidR="00C93C83">
              <w:rPr>
                <w:rFonts w:cs="Calibri"/>
                <w:color w:val="000000"/>
              </w:rPr>
              <w:t xml:space="preserve"> The message is unclear.</w:t>
            </w:r>
          </w:p>
        </w:tc>
      </w:tr>
      <w:tr w:rsidR="007C2CD9" w:rsidRPr="007C2CD9" w14:paraId="585EDB8C" w14:textId="77777777" w:rsidTr="007C2CD9">
        <w:trPr>
          <w:trHeight w:val="1786"/>
        </w:trPr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85" w14:textId="77777777" w:rsid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  <w:r w:rsidRPr="007C2CD9">
              <w:rPr>
                <w:rFonts w:cs="Calibri"/>
                <w:b/>
                <w:bCs/>
                <w:color w:val="000000"/>
              </w:rPr>
              <w:t>Purpose and Audience</w:t>
            </w:r>
          </w:p>
          <w:p w14:paraId="585EDB86" w14:textId="77777777" w:rsidR="00A55881" w:rsidRDefault="00A5588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</w:p>
          <w:p w14:paraId="585EDB87" w14:textId="77777777" w:rsidR="00A55881" w:rsidRPr="00A55881" w:rsidRDefault="00A5588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i/>
                <w:color w:val="000000"/>
              </w:rPr>
            </w:pPr>
            <w:r>
              <w:rPr>
                <w:rFonts w:cs="Calibri"/>
                <w:b/>
                <w:bCs/>
                <w:i/>
                <w:color w:val="000000"/>
              </w:rPr>
              <w:t>Message, intent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88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Purpose is obvious and consistently carried through.  Information and images are suitable for identified audience.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89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Purpose is clearly stated and consistently carried through.  Information and images are suitable for identified audience.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8A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Project needs more consistency and a more clearly stated purpose.  Information and images need to be selected for identified audience.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8B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 xml:space="preserve">Information and or images need to </w:t>
            </w:r>
            <w:r w:rsidR="00C93C83">
              <w:rPr>
                <w:rFonts w:cs="Calibri"/>
                <w:color w:val="000000"/>
              </w:rPr>
              <w:t xml:space="preserve">be connected to avoid audience </w:t>
            </w:r>
            <w:r w:rsidRPr="007C2CD9">
              <w:rPr>
                <w:rFonts w:cs="Calibri"/>
                <w:color w:val="000000"/>
              </w:rPr>
              <w:t xml:space="preserve">confusion about purpose. </w:t>
            </w:r>
          </w:p>
        </w:tc>
      </w:tr>
      <w:tr w:rsidR="007C2CD9" w:rsidRPr="007C2CD9" w14:paraId="585EDB94" w14:textId="77777777" w:rsidTr="007C2CD9">
        <w:trPr>
          <w:trHeight w:val="1116"/>
        </w:trPr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8D" w14:textId="77777777" w:rsid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  <w:r w:rsidRPr="007C2CD9">
              <w:rPr>
                <w:rFonts w:cs="Calibri"/>
                <w:b/>
                <w:bCs/>
                <w:color w:val="000000"/>
              </w:rPr>
              <w:t>Visual / Audio Effect</w:t>
            </w:r>
          </w:p>
          <w:p w14:paraId="585EDB8E" w14:textId="77777777" w:rsidR="00A55881" w:rsidRDefault="00A5588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</w:p>
          <w:p w14:paraId="585EDB8F" w14:textId="77777777" w:rsidR="00A55881" w:rsidRPr="00A55881" w:rsidRDefault="00A5588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i/>
                <w:color w:val="000000"/>
              </w:rPr>
            </w:pPr>
            <w:r>
              <w:rPr>
                <w:rFonts w:cs="Calibri"/>
                <w:b/>
                <w:bCs/>
                <w:i/>
                <w:color w:val="000000"/>
              </w:rPr>
              <w:t>Message, Language choices and conventions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90" w14:textId="77777777" w:rsidR="007C2CD9" w:rsidRPr="007C2CD9" w:rsidRDefault="00C93C83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Message </w:t>
            </w:r>
            <w:r w:rsidR="007C2CD9" w:rsidRPr="007C2CD9">
              <w:rPr>
                <w:rFonts w:cs="Calibri"/>
                <w:color w:val="000000"/>
              </w:rPr>
              <w:t xml:space="preserve">is enhanced by creative, skilled use of sound, image, </w:t>
            </w:r>
            <w:r>
              <w:rPr>
                <w:rFonts w:cs="Calibri"/>
                <w:color w:val="000000"/>
              </w:rPr>
              <w:t xml:space="preserve">and </w:t>
            </w:r>
            <w:r w:rsidR="007C2CD9" w:rsidRPr="007C2CD9">
              <w:rPr>
                <w:rFonts w:cs="Calibri"/>
                <w:color w:val="000000"/>
              </w:rPr>
              <w:t xml:space="preserve">movement.  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91" w14:textId="77777777" w:rsidR="007C2CD9" w:rsidRPr="007C2CD9" w:rsidRDefault="00C93C83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Message</w:t>
            </w:r>
            <w:r w:rsidR="007C2CD9" w:rsidRPr="007C2CD9">
              <w:rPr>
                <w:rFonts w:cs="Calibri"/>
                <w:color w:val="000000"/>
              </w:rPr>
              <w:t xml:space="preserve"> is enhanced by effective use of sound, image, </w:t>
            </w:r>
            <w:r>
              <w:rPr>
                <w:rFonts w:cs="Calibri"/>
                <w:color w:val="000000"/>
              </w:rPr>
              <w:t xml:space="preserve">and </w:t>
            </w:r>
            <w:r w:rsidR="007C2CD9" w:rsidRPr="007C2CD9">
              <w:rPr>
                <w:rFonts w:cs="Calibri"/>
                <w:color w:val="000000"/>
              </w:rPr>
              <w:t>movement.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92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Use of sound, image, movement could be more d</w:t>
            </w:r>
            <w:r w:rsidR="00C93C83">
              <w:rPr>
                <w:rFonts w:cs="Calibri"/>
                <w:color w:val="000000"/>
              </w:rPr>
              <w:t>irectly connected to the message</w:t>
            </w:r>
            <w:r w:rsidRPr="007C2CD9">
              <w:rPr>
                <w:rFonts w:cs="Calibri"/>
                <w:color w:val="000000"/>
              </w:rPr>
              <w:t>.</w:t>
            </w:r>
            <w:r w:rsidR="00C93C83">
              <w:rPr>
                <w:rFonts w:cs="Calibri"/>
                <w:color w:val="000000"/>
              </w:rPr>
              <w:t xml:space="preserve"> At times, choices were confusing.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93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Student should consider the u</w:t>
            </w:r>
            <w:r w:rsidR="00C93C83">
              <w:rPr>
                <w:rFonts w:cs="Calibri"/>
                <w:color w:val="000000"/>
              </w:rPr>
              <w:t>se of sound, image, or movement to enhance the message.</w:t>
            </w:r>
            <w:r w:rsidRPr="007C2CD9">
              <w:rPr>
                <w:rFonts w:cs="Calibri"/>
                <w:color w:val="000000"/>
              </w:rPr>
              <w:t xml:space="preserve"> </w:t>
            </w:r>
          </w:p>
        </w:tc>
      </w:tr>
      <w:tr w:rsidR="007C2CD9" w:rsidRPr="007C2CD9" w14:paraId="585EDB9C" w14:textId="77777777" w:rsidTr="007C2CD9">
        <w:trPr>
          <w:trHeight w:val="1406"/>
        </w:trPr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95" w14:textId="77777777" w:rsid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  <w:r w:rsidRPr="007C2CD9">
              <w:rPr>
                <w:rFonts w:cs="Calibri"/>
                <w:b/>
                <w:bCs/>
                <w:color w:val="000000"/>
              </w:rPr>
              <w:t>Mechanics &amp; Conventions</w:t>
            </w:r>
          </w:p>
          <w:p w14:paraId="585EDB96" w14:textId="77777777" w:rsidR="00A55881" w:rsidRDefault="00A5588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</w:p>
          <w:p w14:paraId="585EDB97" w14:textId="77777777" w:rsidR="00A55881" w:rsidRPr="00A55881" w:rsidRDefault="00A5588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i/>
                <w:color w:val="000000"/>
              </w:rPr>
            </w:pPr>
            <w:r>
              <w:rPr>
                <w:rFonts w:cs="Calibri"/>
                <w:b/>
                <w:bCs/>
                <w:i/>
                <w:color w:val="000000"/>
              </w:rPr>
              <w:t>Language choices and conventions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98" w14:textId="77777777" w:rsidR="007C2CD9" w:rsidRPr="007C2CD9" w:rsidRDefault="007C2CD9" w:rsidP="00C93C83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Font, spelling, transi</w:t>
            </w:r>
            <w:r w:rsidR="00C93C83">
              <w:rPr>
                <w:rFonts w:cs="Calibri"/>
                <w:color w:val="000000"/>
              </w:rPr>
              <w:t>tions, sentence structure etc., enhance the</w:t>
            </w:r>
            <w:r w:rsidRPr="007C2CD9">
              <w:rPr>
                <w:rFonts w:cs="Calibri"/>
                <w:color w:val="000000"/>
              </w:rPr>
              <w:t xml:space="preserve"> project</w:t>
            </w:r>
            <w:r w:rsidR="00C93C83">
              <w:rPr>
                <w:rFonts w:cs="Calibri"/>
                <w:color w:val="000000"/>
              </w:rPr>
              <w:t xml:space="preserve"> and the clarity of the message</w:t>
            </w:r>
            <w:r w:rsidRPr="007C2CD9">
              <w:rPr>
                <w:rFonts w:cs="Calibri"/>
                <w:color w:val="000000"/>
              </w:rPr>
              <w:t>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99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Font, spelling, transitions, sentence structure etc. are appropriate for project</w:t>
            </w:r>
            <w:r w:rsidR="00C93C83">
              <w:rPr>
                <w:rFonts w:cs="Calibri"/>
                <w:color w:val="000000"/>
              </w:rPr>
              <w:t xml:space="preserve"> and the clarity of the message</w:t>
            </w:r>
            <w:r w:rsidRPr="007C2CD9">
              <w:rPr>
                <w:rFonts w:cs="Calibri"/>
                <w:color w:val="000000"/>
              </w:rPr>
              <w:t>.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9A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Some errors are evident in Font, spelling, transitions, sentence structure etc</w:t>
            </w:r>
            <w:r w:rsidR="00C93C83">
              <w:rPr>
                <w:rFonts w:cs="Calibri"/>
                <w:color w:val="000000"/>
              </w:rPr>
              <w:t>., which has led to lack of clarity of the message.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9B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S</w:t>
            </w:r>
            <w:r w:rsidR="00C93C83">
              <w:rPr>
                <w:rFonts w:cs="Calibri"/>
                <w:color w:val="000000"/>
              </w:rPr>
              <w:t xml:space="preserve">tudent </w:t>
            </w:r>
            <w:r w:rsidRPr="007C2CD9">
              <w:rPr>
                <w:rFonts w:cs="Calibri"/>
                <w:color w:val="000000"/>
              </w:rPr>
              <w:t>needs to proof (or seek help form a peer)  to avoid  errors  in Font, spelling, transitions, sentence structure etc.</w:t>
            </w:r>
            <w:r w:rsidR="00C93C83">
              <w:rPr>
                <w:rFonts w:cs="Calibri"/>
                <w:color w:val="000000"/>
              </w:rPr>
              <w:t xml:space="preserve"> Message clarity is lost.</w:t>
            </w:r>
          </w:p>
        </w:tc>
      </w:tr>
      <w:tr w:rsidR="007C2CD9" w:rsidRPr="007C2CD9" w14:paraId="585EDBA4" w14:textId="77777777" w:rsidTr="007C2CD9">
        <w:trPr>
          <w:trHeight w:val="1116"/>
        </w:trPr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9D" w14:textId="77777777" w:rsid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  <w:r w:rsidRPr="007C2CD9">
              <w:rPr>
                <w:rFonts w:cs="Calibri"/>
                <w:b/>
                <w:bCs/>
                <w:color w:val="000000"/>
              </w:rPr>
              <w:t>Research and Bibliography</w:t>
            </w:r>
          </w:p>
          <w:p w14:paraId="585EDB9E" w14:textId="77777777" w:rsidR="00A55881" w:rsidRDefault="00A5588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</w:p>
          <w:p w14:paraId="585EDB9F" w14:textId="77777777" w:rsidR="00A55881" w:rsidRPr="00A55881" w:rsidRDefault="00A55881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i/>
                <w:color w:val="000000"/>
              </w:rPr>
            </w:pPr>
            <w:r>
              <w:rPr>
                <w:rFonts w:cs="Calibri"/>
                <w:b/>
                <w:bCs/>
                <w:i/>
                <w:color w:val="000000"/>
              </w:rPr>
              <w:t>Organization, Message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A0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Ample research is evident.  Student has accessed and acknowledged multiple reliable sources</w:t>
            </w:r>
            <w:r w:rsidR="00C93C83">
              <w:rPr>
                <w:rFonts w:cs="Calibri"/>
                <w:color w:val="000000"/>
              </w:rPr>
              <w:t xml:space="preserve"> and has used them to enhance the message.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A1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Adequate research is evident.  Sources are clearly identified</w:t>
            </w:r>
            <w:r w:rsidR="00C93C83">
              <w:rPr>
                <w:rFonts w:cs="Calibri"/>
                <w:color w:val="000000"/>
              </w:rPr>
              <w:t xml:space="preserve"> and have been used to support the message.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A2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More research is needed. Reliable sources need to be selected and clearly identified.</w:t>
            </w:r>
            <w:r w:rsidR="00C93C83">
              <w:rPr>
                <w:rFonts w:cs="Calibri"/>
                <w:color w:val="000000"/>
              </w:rPr>
              <w:t xml:space="preserve"> Source choices need to be based on message and purpose.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DBA3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color w:val="000000"/>
              </w:rPr>
            </w:pPr>
            <w:r w:rsidRPr="007C2CD9">
              <w:rPr>
                <w:rFonts w:cs="Calibri"/>
                <w:color w:val="000000"/>
              </w:rPr>
              <w:t>Research is</w:t>
            </w:r>
            <w:r w:rsidR="00C93C83">
              <w:rPr>
                <w:rFonts w:cs="Calibri"/>
                <w:color w:val="000000"/>
              </w:rPr>
              <w:t xml:space="preserve"> required.  Sources need to be </w:t>
            </w:r>
            <w:r w:rsidRPr="007C2CD9">
              <w:rPr>
                <w:rFonts w:cs="Calibri"/>
                <w:color w:val="000000"/>
              </w:rPr>
              <w:t>clearly identified.</w:t>
            </w:r>
            <w:r w:rsidR="00C93C83">
              <w:rPr>
                <w:rFonts w:cs="Calibri"/>
                <w:color w:val="000000"/>
              </w:rPr>
              <w:t xml:space="preserve"> Further consideration must be given to message and purpose of the presentation.</w:t>
            </w:r>
          </w:p>
        </w:tc>
      </w:tr>
      <w:tr w:rsidR="007C2CD9" w:rsidRPr="007C2CD9" w14:paraId="585EDBA8" w14:textId="77777777" w:rsidTr="007C2CD9">
        <w:trPr>
          <w:trHeight w:val="871"/>
        </w:trPr>
        <w:tc>
          <w:tcPr>
            <w:tcW w:w="8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5EDBA5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rPr>
                <w:rFonts w:cs="Calibri"/>
                <w:b/>
                <w:bCs/>
                <w:color w:val="000000"/>
              </w:rPr>
            </w:pPr>
            <w:r w:rsidRPr="007C2CD9">
              <w:rPr>
                <w:rFonts w:cs="Calibri"/>
                <w:b/>
                <w:bCs/>
                <w:color w:val="000000"/>
              </w:rPr>
              <w:lastRenderedPageBreak/>
              <w:t>Student Self-commentary (Before, During and After Strategies employed):</w:t>
            </w:r>
          </w:p>
        </w:tc>
        <w:tc>
          <w:tcPr>
            <w:tcW w:w="30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A6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5EDBA7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7C2CD9" w:rsidRPr="007C2CD9" w14:paraId="585EDBAE" w14:textId="77777777" w:rsidTr="007C2CD9">
        <w:trPr>
          <w:trHeight w:val="581"/>
        </w:trPr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5EDBA9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AA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AB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AC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5EDBAD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7C2CD9" w:rsidRPr="007C2CD9" w14:paraId="585EDBB4" w14:textId="77777777" w:rsidTr="007C2CD9">
        <w:trPr>
          <w:trHeight w:val="581"/>
        </w:trPr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5EDBAF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B0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B1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B2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5EDBB3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</w:tr>
      <w:tr w:rsidR="007C2CD9" w:rsidRPr="007C2CD9" w14:paraId="585EDBBA" w14:textId="77777777" w:rsidTr="007C2CD9">
        <w:trPr>
          <w:trHeight w:val="581"/>
        </w:trPr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5EDBB5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B6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B7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B8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5EDBB9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</w:tr>
      <w:tr w:rsidR="007C2CD9" w:rsidRPr="007C2CD9" w14:paraId="585EDBC0" w14:textId="77777777" w:rsidTr="007C2CD9">
        <w:trPr>
          <w:trHeight w:val="566"/>
        </w:trPr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5EDBBB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BC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BD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BE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5EDBBF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</w:tr>
      <w:tr w:rsidR="007C2CD9" w:rsidRPr="007C2CD9" w14:paraId="585EDBC6" w14:textId="77777777" w:rsidTr="007C2CD9">
        <w:trPr>
          <w:trHeight w:val="566"/>
        </w:trPr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5EDBC1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C2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C3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EDBC4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5EDBC5" w14:textId="77777777" w:rsidR="007C2CD9" w:rsidRPr="007C2CD9" w:rsidRDefault="007C2CD9" w:rsidP="007C2CD9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Calibri"/>
                <w:color w:val="000000"/>
              </w:rPr>
            </w:pPr>
          </w:p>
        </w:tc>
      </w:tr>
    </w:tbl>
    <w:p w14:paraId="585EDBC7" w14:textId="77777777" w:rsidR="00D7758B" w:rsidRDefault="00D7758B"/>
    <w:sectPr w:rsidR="00D7758B" w:rsidSect="007C2C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CD9"/>
    <w:rsid w:val="001A5840"/>
    <w:rsid w:val="003A552F"/>
    <w:rsid w:val="007C2CD9"/>
    <w:rsid w:val="00A55881"/>
    <w:rsid w:val="00AB5E01"/>
    <w:rsid w:val="00C93C83"/>
    <w:rsid w:val="00D7758B"/>
    <w:rsid w:val="00E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DB5D"/>
  <w15:docId w15:val="{9A020D01-05F0-48CE-B712-4D76BFF2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64BF5-DDCA-4972-94CA-9B4A1AC9E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D2397-F682-42D5-A7D1-40A46CE436FA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01DFFE-1CE1-4B2D-A5D7-F56E8ABEF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2024-08-22T15:14:00Z</dcterms:created>
  <dcterms:modified xsi:type="dcterms:W3CDTF">2024-08-22T15:14:00Z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