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F626E" w14:textId="77777777" w:rsidR="00D7758B" w:rsidRPr="00685D58" w:rsidRDefault="00264D61">
      <w:pPr>
        <w:rPr>
          <w:b/>
          <w:sz w:val="28"/>
          <w:szCs w:val="28"/>
        </w:rPr>
      </w:pPr>
      <w:r>
        <w:rPr>
          <w:noProof/>
        </w:rPr>
        <w:drawing>
          <wp:inline distT="0" distB="0" distL="0" distR="0" wp14:anchorId="525F6293" wp14:editId="525F6294">
            <wp:extent cx="809625" cy="4667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09625" cy="466725"/>
                    </a:xfrm>
                    <a:prstGeom prst="rect">
                      <a:avLst/>
                    </a:prstGeom>
                    <a:noFill/>
                    <a:ln w="9525">
                      <a:noFill/>
                      <a:miter lim="800000"/>
                      <a:headEnd/>
                      <a:tailEnd/>
                    </a:ln>
                  </pic:spPr>
                </pic:pic>
              </a:graphicData>
            </a:graphic>
          </wp:inline>
        </w:drawing>
      </w:r>
      <w:r w:rsidR="00194F52" w:rsidRPr="00685D58">
        <w:rPr>
          <w:b/>
          <w:sz w:val="28"/>
          <w:szCs w:val="28"/>
        </w:rPr>
        <w:t>Rubric for</w:t>
      </w:r>
      <w:r w:rsidR="00685D58" w:rsidRPr="00685D58">
        <w:rPr>
          <w:b/>
          <w:sz w:val="28"/>
          <w:szCs w:val="28"/>
        </w:rPr>
        <w:t xml:space="preserve"> Interview with historical figure – ELA 20</w:t>
      </w:r>
      <w:r w:rsidR="00681989" w:rsidRPr="00685D58">
        <w:rPr>
          <w:b/>
          <w:sz w:val="28"/>
          <w:szCs w:val="28"/>
        </w:rPr>
        <w:t xml:space="preserve">  </w:t>
      </w:r>
      <w:r w:rsidR="00C64DA7">
        <w:rPr>
          <w:b/>
          <w:sz w:val="28"/>
          <w:szCs w:val="28"/>
        </w:rPr>
        <w:t xml:space="preserve">                       </w:t>
      </w:r>
      <w:r w:rsidR="00AE33BC" w:rsidRPr="00685D58">
        <w:rPr>
          <w:b/>
          <w:sz w:val="28"/>
          <w:szCs w:val="28"/>
        </w:rPr>
        <w:t>Name __</w:t>
      </w:r>
      <w:r w:rsidR="00685D58" w:rsidRPr="00685D58">
        <w:rPr>
          <w:b/>
          <w:sz w:val="28"/>
          <w:szCs w:val="28"/>
        </w:rPr>
        <w:t>____________________</w:t>
      </w:r>
    </w:p>
    <w:tbl>
      <w:tblPr>
        <w:tblW w:w="1445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1418"/>
        <w:gridCol w:w="3402"/>
        <w:gridCol w:w="2410"/>
        <w:gridCol w:w="3118"/>
        <w:gridCol w:w="2835"/>
      </w:tblGrid>
      <w:tr w:rsidR="00DB4E09" w:rsidRPr="00D45126" w14:paraId="525F6275" w14:textId="77777777" w:rsidTr="00DB4E09">
        <w:trPr>
          <w:cantSplit/>
          <w:trHeight w:val="845"/>
        </w:trPr>
        <w:tc>
          <w:tcPr>
            <w:tcW w:w="1276" w:type="dxa"/>
            <w:shd w:val="clear" w:color="auto" w:fill="BFBFBF" w:themeFill="background1" w:themeFillShade="BF"/>
            <w:textDirection w:val="btLr"/>
          </w:tcPr>
          <w:p w14:paraId="525F626F" w14:textId="77777777" w:rsidR="00DB4E09" w:rsidRPr="00D45126" w:rsidRDefault="00DB4E09" w:rsidP="00AE33BC">
            <w:pPr>
              <w:ind w:left="113" w:right="113" w:firstLine="0"/>
              <w:rPr>
                <w:b/>
                <w:sz w:val="28"/>
                <w:szCs w:val="28"/>
              </w:rPr>
            </w:pPr>
          </w:p>
        </w:tc>
        <w:tc>
          <w:tcPr>
            <w:tcW w:w="1418" w:type="dxa"/>
            <w:shd w:val="clear" w:color="auto" w:fill="BFBFBF" w:themeFill="background1" w:themeFillShade="BF"/>
          </w:tcPr>
          <w:p w14:paraId="525F6270" w14:textId="77777777" w:rsidR="00DB4E09" w:rsidRPr="00D45126" w:rsidRDefault="00DB4E09">
            <w:pPr>
              <w:ind w:left="0" w:firstLine="0"/>
              <w:rPr>
                <w:sz w:val="24"/>
                <w:szCs w:val="24"/>
              </w:rPr>
            </w:pPr>
          </w:p>
        </w:tc>
        <w:tc>
          <w:tcPr>
            <w:tcW w:w="3402" w:type="dxa"/>
            <w:shd w:val="clear" w:color="auto" w:fill="BFBFBF" w:themeFill="background1" w:themeFillShade="BF"/>
          </w:tcPr>
          <w:p w14:paraId="525F6271" w14:textId="77777777" w:rsidR="00DB4E09" w:rsidRPr="00BB7355" w:rsidRDefault="00DB4E09" w:rsidP="004C0391">
            <w:pPr>
              <w:ind w:left="0" w:firstLine="0"/>
              <w:rPr>
                <w:sz w:val="32"/>
                <w:szCs w:val="32"/>
              </w:rPr>
            </w:pPr>
            <w:r>
              <w:rPr>
                <w:b/>
              </w:rPr>
              <w:t>Fully meeting expectations, with enriched understanding (EU)</w:t>
            </w:r>
          </w:p>
        </w:tc>
        <w:tc>
          <w:tcPr>
            <w:tcW w:w="2410" w:type="dxa"/>
            <w:shd w:val="clear" w:color="auto" w:fill="BFBFBF" w:themeFill="background1" w:themeFillShade="BF"/>
          </w:tcPr>
          <w:p w14:paraId="525F6272" w14:textId="77777777" w:rsidR="00DB4E09" w:rsidRPr="00BB7355" w:rsidRDefault="00DB4E09" w:rsidP="004C0391">
            <w:pPr>
              <w:ind w:left="0" w:firstLine="0"/>
              <w:rPr>
                <w:sz w:val="32"/>
                <w:szCs w:val="32"/>
              </w:rPr>
            </w:pPr>
            <w:r>
              <w:rPr>
                <w:b/>
              </w:rPr>
              <w:t>Fully meeting grade level expectations (FM)</w:t>
            </w:r>
          </w:p>
        </w:tc>
        <w:tc>
          <w:tcPr>
            <w:tcW w:w="3118" w:type="dxa"/>
            <w:shd w:val="clear" w:color="auto" w:fill="BFBFBF" w:themeFill="background1" w:themeFillShade="BF"/>
          </w:tcPr>
          <w:p w14:paraId="525F6273" w14:textId="77777777" w:rsidR="00DB4E09" w:rsidRPr="00BB7355" w:rsidRDefault="00DB4E09" w:rsidP="004C0391">
            <w:pPr>
              <w:ind w:left="0" w:firstLine="0"/>
              <w:rPr>
                <w:sz w:val="32"/>
                <w:szCs w:val="32"/>
              </w:rPr>
            </w:pPr>
            <w:r>
              <w:rPr>
                <w:b/>
              </w:rPr>
              <w:t>Mostly meeting grade level expectations (MM)</w:t>
            </w:r>
          </w:p>
        </w:tc>
        <w:tc>
          <w:tcPr>
            <w:tcW w:w="2835" w:type="dxa"/>
            <w:shd w:val="clear" w:color="auto" w:fill="BFBFBF" w:themeFill="background1" w:themeFillShade="BF"/>
          </w:tcPr>
          <w:p w14:paraId="525F6274" w14:textId="77777777" w:rsidR="00DB4E09" w:rsidRPr="00521A71" w:rsidRDefault="00DB4E09" w:rsidP="004C0391">
            <w:pPr>
              <w:ind w:left="0" w:firstLine="0"/>
              <w:rPr>
                <w:b/>
              </w:rPr>
            </w:pPr>
            <w:r>
              <w:rPr>
                <w:b/>
              </w:rPr>
              <w:t>Not yet meeting grade level expectations (NY)</w:t>
            </w:r>
          </w:p>
        </w:tc>
      </w:tr>
      <w:tr w:rsidR="00DB4E09" w:rsidRPr="00D45126" w14:paraId="525F627C" w14:textId="77777777" w:rsidTr="00DB4E09">
        <w:trPr>
          <w:cantSplit/>
          <w:trHeight w:val="1160"/>
        </w:trPr>
        <w:tc>
          <w:tcPr>
            <w:tcW w:w="1276" w:type="dxa"/>
            <w:vMerge w:val="restart"/>
            <w:shd w:val="clear" w:color="auto" w:fill="BFBFBF" w:themeFill="background1" w:themeFillShade="BF"/>
            <w:textDirection w:val="btLr"/>
          </w:tcPr>
          <w:p w14:paraId="525F6276" w14:textId="77777777" w:rsidR="00DB4E09" w:rsidRPr="00D45126" w:rsidRDefault="00DB4E09" w:rsidP="00685D58">
            <w:pPr>
              <w:ind w:left="113" w:right="113" w:firstLine="0"/>
              <w:rPr>
                <w:b/>
                <w:sz w:val="28"/>
                <w:szCs w:val="28"/>
              </w:rPr>
            </w:pPr>
            <w:r w:rsidRPr="00D45126">
              <w:rPr>
                <w:b/>
                <w:sz w:val="28"/>
                <w:szCs w:val="28"/>
              </w:rPr>
              <w:t>Message/Meaning</w:t>
            </w:r>
          </w:p>
        </w:tc>
        <w:tc>
          <w:tcPr>
            <w:tcW w:w="1418" w:type="dxa"/>
            <w:shd w:val="clear" w:color="auto" w:fill="D9D9D9" w:themeFill="background1" w:themeFillShade="D9"/>
          </w:tcPr>
          <w:p w14:paraId="525F6277" w14:textId="77777777" w:rsidR="00DB4E09" w:rsidRPr="006A687C" w:rsidRDefault="00DB4E09">
            <w:pPr>
              <w:ind w:left="0" w:firstLine="0"/>
              <w:rPr>
                <w:b/>
                <w:sz w:val="24"/>
                <w:szCs w:val="24"/>
              </w:rPr>
            </w:pPr>
            <w:r>
              <w:rPr>
                <w:b/>
                <w:sz w:val="24"/>
                <w:szCs w:val="24"/>
              </w:rPr>
              <w:t>Evidence of background research</w:t>
            </w:r>
          </w:p>
        </w:tc>
        <w:tc>
          <w:tcPr>
            <w:tcW w:w="3402" w:type="dxa"/>
          </w:tcPr>
          <w:p w14:paraId="525F6278" w14:textId="77777777" w:rsidR="00DB4E09" w:rsidRPr="006A687C" w:rsidRDefault="00DB4E09" w:rsidP="00D45126">
            <w:pPr>
              <w:ind w:left="0" w:firstLine="0"/>
              <w:rPr>
                <w:sz w:val="20"/>
                <w:szCs w:val="20"/>
              </w:rPr>
            </w:pPr>
            <w:r>
              <w:rPr>
                <w:sz w:val="20"/>
                <w:szCs w:val="20"/>
              </w:rPr>
              <w:t>You have dug into the background research for your interview beyond general information. You are clearly engaged in your topic and have looked at multiple sources for insight. Your interview reflects this deep understanding of your character.</w:t>
            </w:r>
          </w:p>
        </w:tc>
        <w:tc>
          <w:tcPr>
            <w:tcW w:w="2410" w:type="dxa"/>
            <w:shd w:val="clear" w:color="auto" w:fill="D9D9D9" w:themeFill="background1" w:themeFillShade="D9"/>
          </w:tcPr>
          <w:p w14:paraId="525F6279" w14:textId="77777777" w:rsidR="00DB4E09" w:rsidRPr="006A687C" w:rsidRDefault="00DB4E09" w:rsidP="00685D58">
            <w:pPr>
              <w:ind w:left="0" w:firstLine="0"/>
              <w:rPr>
                <w:sz w:val="20"/>
                <w:szCs w:val="20"/>
              </w:rPr>
            </w:pPr>
            <w:r>
              <w:rPr>
                <w:sz w:val="20"/>
                <w:szCs w:val="20"/>
              </w:rPr>
              <w:t>Your interview shows evidence of background research before the interview. Your research allows you to ask about the person’s place in history, as well as his/ her successes or failures.</w:t>
            </w:r>
          </w:p>
        </w:tc>
        <w:tc>
          <w:tcPr>
            <w:tcW w:w="3118" w:type="dxa"/>
          </w:tcPr>
          <w:p w14:paraId="525F627A" w14:textId="77777777" w:rsidR="00DB4E09" w:rsidRPr="006A687C" w:rsidRDefault="00DB4E09" w:rsidP="000C00AB">
            <w:pPr>
              <w:ind w:left="0" w:firstLine="0"/>
              <w:rPr>
                <w:sz w:val="20"/>
                <w:szCs w:val="20"/>
              </w:rPr>
            </w:pPr>
            <w:r>
              <w:rPr>
                <w:sz w:val="20"/>
                <w:szCs w:val="20"/>
              </w:rPr>
              <w:t>With help, your interview shows some evidence of background research before the interview. There were some moments where more research may have results in stronger questions. Ensure you plan to explore the character fully in your interview.</w:t>
            </w:r>
          </w:p>
        </w:tc>
        <w:tc>
          <w:tcPr>
            <w:tcW w:w="2835" w:type="dxa"/>
          </w:tcPr>
          <w:p w14:paraId="525F627B" w14:textId="77777777" w:rsidR="00DB4E09" w:rsidRPr="006A687C" w:rsidRDefault="00DB4E09" w:rsidP="00D45126">
            <w:pPr>
              <w:ind w:left="0" w:firstLine="0"/>
              <w:rPr>
                <w:sz w:val="20"/>
                <w:szCs w:val="20"/>
              </w:rPr>
            </w:pPr>
            <w:r>
              <w:rPr>
                <w:sz w:val="20"/>
                <w:szCs w:val="20"/>
              </w:rPr>
              <w:t>You are having trouble spending time before the interview doing adequate research. Are you happy with the character you are interviewing? Do you need help with finding resources?</w:t>
            </w:r>
          </w:p>
        </w:tc>
      </w:tr>
      <w:tr w:rsidR="00DB4E09" w:rsidRPr="00D45126" w14:paraId="525F6283" w14:textId="77777777" w:rsidTr="00DB4E09">
        <w:trPr>
          <w:cantSplit/>
          <w:trHeight w:val="1160"/>
        </w:trPr>
        <w:tc>
          <w:tcPr>
            <w:tcW w:w="1276" w:type="dxa"/>
            <w:vMerge/>
            <w:shd w:val="clear" w:color="auto" w:fill="BFBFBF" w:themeFill="background1" w:themeFillShade="BF"/>
            <w:textDirection w:val="btLr"/>
          </w:tcPr>
          <w:p w14:paraId="525F627D" w14:textId="77777777" w:rsidR="00DB4E09" w:rsidRPr="00D45126" w:rsidRDefault="00DB4E09" w:rsidP="00AE33BC">
            <w:pPr>
              <w:ind w:left="113" w:right="113" w:firstLine="0"/>
              <w:rPr>
                <w:b/>
                <w:sz w:val="28"/>
                <w:szCs w:val="28"/>
              </w:rPr>
            </w:pPr>
          </w:p>
        </w:tc>
        <w:tc>
          <w:tcPr>
            <w:tcW w:w="1418" w:type="dxa"/>
            <w:shd w:val="clear" w:color="auto" w:fill="D9D9D9" w:themeFill="background1" w:themeFillShade="D9"/>
          </w:tcPr>
          <w:p w14:paraId="525F627E" w14:textId="77777777" w:rsidR="00DB4E09" w:rsidRPr="006A687C" w:rsidRDefault="00DB4E09">
            <w:pPr>
              <w:ind w:left="0" w:firstLine="0"/>
              <w:rPr>
                <w:b/>
                <w:sz w:val="24"/>
                <w:szCs w:val="24"/>
              </w:rPr>
            </w:pPr>
            <w:r>
              <w:rPr>
                <w:b/>
                <w:sz w:val="24"/>
                <w:szCs w:val="24"/>
              </w:rPr>
              <w:t>Ask open-ended questions</w:t>
            </w:r>
          </w:p>
        </w:tc>
        <w:tc>
          <w:tcPr>
            <w:tcW w:w="3402" w:type="dxa"/>
          </w:tcPr>
          <w:p w14:paraId="525F627F" w14:textId="77777777" w:rsidR="00DB4E09" w:rsidRPr="006A687C" w:rsidRDefault="00DB4E09" w:rsidP="00D45126">
            <w:pPr>
              <w:ind w:left="0" w:firstLine="0"/>
              <w:rPr>
                <w:sz w:val="20"/>
                <w:szCs w:val="20"/>
              </w:rPr>
            </w:pPr>
            <w:r>
              <w:rPr>
                <w:sz w:val="20"/>
                <w:szCs w:val="20"/>
              </w:rPr>
              <w:t>You ask open-end and highly engaging and unique questions that invite you, your character and your audience to look at the character from a different perspective.</w:t>
            </w:r>
          </w:p>
        </w:tc>
        <w:tc>
          <w:tcPr>
            <w:tcW w:w="2410" w:type="dxa"/>
            <w:shd w:val="clear" w:color="auto" w:fill="D9D9D9" w:themeFill="background1" w:themeFillShade="D9"/>
          </w:tcPr>
          <w:p w14:paraId="525F6280" w14:textId="77777777" w:rsidR="00DB4E09" w:rsidRPr="006A687C" w:rsidRDefault="00DB4E09" w:rsidP="00D45126">
            <w:pPr>
              <w:ind w:left="0" w:firstLine="0"/>
              <w:rPr>
                <w:sz w:val="20"/>
                <w:szCs w:val="20"/>
              </w:rPr>
            </w:pPr>
            <w:r>
              <w:rPr>
                <w:sz w:val="20"/>
                <w:szCs w:val="20"/>
              </w:rPr>
              <w:t>You ask open-ended, thoughtful questions that require more than a yes/no answer.</w:t>
            </w:r>
          </w:p>
        </w:tc>
        <w:tc>
          <w:tcPr>
            <w:tcW w:w="3118" w:type="dxa"/>
          </w:tcPr>
          <w:p w14:paraId="525F6281" w14:textId="77777777" w:rsidR="00DB4E09" w:rsidRPr="006A687C" w:rsidRDefault="00DB4E09" w:rsidP="00D45126">
            <w:pPr>
              <w:ind w:left="0" w:firstLine="0"/>
              <w:rPr>
                <w:sz w:val="20"/>
                <w:szCs w:val="20"/>
              </w:rPr>
            </w:pPr>
            <w:r>
              <w:rPr>
                <w:sz w:val="20"/>
                <w:szCs w:val="20"/>
              </w:rPr>
              <w:t>With help, you ask open-ended questions. Continue working on looking for questions that start with “why” and “how” so you can become more confident in this skill.</w:t>
            </w:r>
          </w:p>
        </w:tc>
        <w:tc>
          <w:tcPr>
            <w:tcW w:w="2835" w:type="dxa"/>
          </w:tcPr>
          <w:p w14:paraId="525F6282" w14:textId="77777777" w:rsidR="00DB4E09" w:rsidRPr="006A687C" w:rsidRDefault="00DB4E09" w:rsidP="00D45126">
            <w:pPr>
              <w:ind w:left="0" w:firstLine="0"/>
              <w:rPr>
                <w:sz w:val="20"/>
                <w:szCs w:val="20"/>
              </w:rPr>
            </w:pPr>
            <w:r>
              <w:rPr>
                <w:sz w:val="20"/>
                <w:szCs w:val="20"/>
              </w:rPr>
              <w:t>You are having trouble asking open-ended questions. Write out all your questions ahead of time and cross out any that will have a one word answer. Use “how” and “why” in questions.</w:t>
            </w:r>
          </w:p>
        </w:tc>
      </w:tr>
      <w:tr w:rsidR="00DB4E09" w:rsidRPr="00D45126" w14:paraId="525F628A" w14:textId="77777777" w:rsidTr="00DB4E09">
        <w:trPr>
          <w:cantSplit/>
          <w:trHeight w:val="975"/>
        </w:trPr>
        <w:tc>
          <w:tcPr>
            <w:tcW w:w="1276" w:type="dxa"/>
            <w:shd w:val="clear" w:color="auto" w:fill="BFBFBF" w:themeFill="background1" w:themeFillShade="BF"/>
            <w:textDirection w:val="btLr"/>
          </w:tcPr>
          <w:p w14:paraId="525F6284" w14:textId="77777777" w:rsidR="00DB4E09" w:rsidRPr="00D45126" w:rsidRDefault="00DB4E09" w:rsidP="00AE33BC">
            <w:pPr>
              <w:ind w:left="113" w:right="113" w:firstLine="0"/>
              <w:jc w:val="center"/>
              <w:rPr>
                <w:b/>
                <w:sz w:val="28"/>
                <w:szCs w:val="28"/>
              </w:rPr>
            </w:pPr>
            <w:r w:rsidRPr="00D45126">
              <w:rPr>
                <w:b/>
                <w:sz w:val="28"/>
                <w:szCs w:val="28"/>
              </w:rPr>
              <w:t>Organization and Coherence</w:t>
            </w:r>
          </w:p>
        </w:tc>
        <w:tc>
          <w:tcPr>
            <w:tcW w:w="1418" w:type="dxa"/>
            <w:shd w:val="clear" w:color="auto" w:fill="D9D9D9" w:themeFill="background1" w:themeFillShade="D9"/>
          </w:tcPr>
          <w:p w14:paraId="525F6285" w14:textId="77777777" w:rsidR="00DB4E09" w:rsidRPr="006A687C" w:rsidRDefault="00DB4E09">
            <w:pPr>
              <w:ind w:left="0" w:firstLine="0"/>
              <w:rPr>
                <w:b/>
                <w:sz w:val="24"/>
                <w:szCs w:val="24"/>
              </w:rPr>
            </w:pPr>
            <w:r>
              <w:rPr>
                <w:b/>
                <w:sz w:val="24"/>
                <w:szCs w:val="24"/>
              </w:rPr>
              <w:t>Evidence of pre-planning</w:t>
            </w:r>
          </w:p>
        </w:tc>
        <w:tc>
          <w:tcPr>
            <w:tcW w:w="3402" w:type="dxa"/>
          </w:tcPr>
          <w:p w14:paraId="525F6286" w14:textId="77777777" w:rsidR="00DB4E09" w:rsidRPr="006A687C" w:rsidRDefault="00DB4E09">
            <w:pPr>
              <w:ind w:left="0" w:firstLine="0"/>
              <w:rPr>
                <w:sz w:val="20"/>
                <w:szCs w:val="20"/>
              </w:rPr>
            </w:pPr>
            <w:r>
              <w:rPr>
                <w:sz w:val="20"/>
                <w:szCs w:val="20"/>
              </w:rPr>
              <w:t>Your interview shows evidence of a high level of pre-planning about all aspects of en effective interview. This pre-planning has led to an interview that has “flow” and coherence.</w:t>
            </w:r>
          </w:p>
        </w:tc>
        <w:tc>
          <w:tcPr>
            <w:tcW w:w="2410" w:type="dxa"/>
            <w:shd w:val="clear" w:color="auto" w:fill="D9D9D9" w:themeFill="background1" w:themeFillShade="D9"/>
          </w:tcPr>
          <w:p w14:paraId="525F6287" w14:textId="77777777" w:rsidR="00DB4E09" w:rsidRPr="006A687C" w:rsidRDefault="00DB4E09">
            <w:pPr>
              <w:ind w:left="0" w:firstLine="0"/>
              <w:rPr>
                <w:sz w:val="20"/>
                <w:szCs w:val="20"/>
              </w:rPr>
            </w:pPr>
            <w:r>
              <w:rPr>
                <w:sz w:val="20"/>
                <w:szCs w:val="20"/>
              </w:rPr>
              <w:t>Your interview shows evidence of pre-planning about how to begin the interview, the purpose, facts that will be used in the middle, and what might be used to conclude the interview.</w:t>
            </w:r>
          </w:p>
        </w:tc>
        <w:tc>
          <w:tcPr>
            <w:tcW w:w="3118" w:type="dxa"/>
          </w:tcPr>
          <w:p w14:paraId="525F6288" w14:textId="77777777" w:rsidR="00DB4E09" w:rsidRPr="006A687C" w:rsidRDefault="00DB4E09">
            <w:pPr>
              <w:ind w:left="0" w:firstLine="0"/>
              <w:rPr>
                <w:sz w:val="20"/>
                <w:szCs w:val="20"/>
              </w:rPr>
            </w:pPr>
            <w:r>
              <w:rPr>
                <w:sz w:val="20"/>
                <w:szCs w:val="20"/>
              </w:rPr>
              <w:t>Your interview shows evidence of pre-planning but there were aspects of the organization that could be “tightened up”. Be sure you have considered beginning, middle and end as well as audience and purpose before beginning.</w:t>
            </w:r>
          </w:p>
        </w:tc>
        <w:tc>
          <w:tcPr>
            <w:tcW w:w="2835" w:type="dxa"/>
          </w:tcPr>
          <w:p w14:paraId="525F6289" w14:textId="77777777" w:rsidR="00DB4E09" w:rsidRPr="006A687C" w:rsidRDefault="00DB4E09">
            <w:pPr>
              <w:ind w:left="0" w:firstLine="0"/>
              <w:rPr>
                <w:sz w:val="20"/>
                <w:szCs w:val="20"/>
              </w:rPr>
            </w:pPr>
            <w:r>
              <w:rPr>
                <w:sz w:val="20"/>
                <w:szCs w:val="20"/>
              </w:rPr>
              <w:t>You are having trouble organizing your interview. Watch interviews to see how they begin, how they develop and how they end. Use what you learn in constructing your own interview.</w:t>
            </w:r>
          </w:p>
        </w:tc>
      </w:tr>
      <w:tr w:rsidR="00DB4E09" w:rsidRPr="00D45126" w14:paraId="525F6291" w14:textId="77777777" w:rsidTr="00DB4E09">
        <w:trPr>
          <w:cantSplit/>
          <w:trHeight w:val="1313"/>
        </w:trPr>
        <w:tc>
          <w:tcPr>
            <w:tcW w:w="1276" w:type="dxa"/>
            <w:shd w:val="clear" w:color="auto" w:fill="BFBFBF" w:themeFill="background1" w:themeFillShade="BF"/>
            <w:textDirection w:val="btLr"/>
          </w:tcPr>
          <w:p w14:paraId="525F628B" w14:textId="77777777" w:rsidR="00DB4E09" w:rsidRPr="00D45126" w:rsidRDefault="00DB4E09" w:rsidP="00AE33BC">
            <w:pPr>
              <w:ind w:left="113" w:right="113" w:firstLine="0"/>
              <w:jc w:val="center"/>
              <w:rPr>
                <w:b/>
                <w:sz w:val="28"/>
                <w:szCs w:val="28"/>
              </w:rPr>
            </w:pPr>
            <w:r w:rsidRPr="00D45126">
              <w:rPr>
                <w:b/>
                <w:sz w:val="28"/>
                <w:szCs w:val="28"/>
              </w:rPr>
              <w:t>Style and Language Choices</w:t>
            </w:r>
          </w:p>
        </w:tc>
        <w:tc>
          <w:tcPr>
            <w:tcW w:w="1418" w:type="dxa"/>
            <w:shd w:val="clear" w:color="auto" w:fill="D9D9D9" w:themeFill="background1" w:themeFillShade="D9"/>
          </w:tcPr>
          <w:p w14:paraId="525F628C" w14:textId="77777777" w:rsidR="00DB4E09" w:rsidRPr="006A687C" w:rsidRDefault="00DB4E09" w:rsidP="00AB2DF4">
            <w:pPr>
              <w:ind w:left="0" w:firstLine="0"/>
              <w:rPr>
                <w:b/>
                <w:sz w:val="24"/>
                <w:szCs w:val="24"/>
              </w:rPr>
            </w:pPr>
            <w:r>
              <w:rPr>
                <w:b/>
                <w:sz w:val="24"/>
                <w:szCs w:val="24"/>
              </w:rPr>
              <w:t>Encourages open dialogue and character’s voice</w:t>
            </w:r>
          </w:p>
        </w:tc>
        <w:tc>
          <w:tcPr>
            <w:tcW w:w="3402" w:type="dxa"/>
          </w:tcPr>
          <w:p w14:paraId="525F628D" w14:textId="77777777" w:rsidR="00DB4E09" w:rsidRPr="006A687C" w:rsidRDefault="00DB4E09" w:rsidP="00B218A7">
            <w:pPr>
              <w:ind w:left="0" w:firstLine="0"/>
              <w:rPr>
                <w:sz w:val="20"/>
                <w:szCs w:val="20"/>
              </w:rPr>
            </w:pPr>
            <w:r>
              <w:rPr>
                <w:sz w:val="20"/>
                <w:szCs w:val="20"/>
              </w:rPr>
              <w:t>You skillfully engage your character in open, creative dialogue. You ask questions and respond with consistent respect, which encourages your character’s voice to come through.</w:t>
            </w:r>
          </w:p>
        </w:tc>
        <w:tc>
          <w:tcPr>
            <w:tcW w:w="2410" w:type="dxa"/>
            <w:shd w:val="clear" w:color="auto" w:fill="D9D9D9" w:themeFill="background1" w:themeFillShade="D9"/>
          </w:tcPr>
          <w:p w14:paraId="525F628E" w14:textId="77777777" w:rsidR="00DB4E09" w:rsidRPr="006A687C" w:rsidRDefault="00DB4E09" w:rsidP="00B218A7">
            <w:pPr>
              <w:ind w:left="0" w:firstLine="0"/>
              <w:rPr>
                <w:sz w:val="20"/>
                <w:szCs w:val="20"/>
              </w:rPr>
            </w:pPr>
            <w:r>
              <w:rPr>
                <w:sz w:val="20"/>
                <w:szCs w:val="20"/>
              </w:rPr>
              <w:t>You encourage open dialogue with your character and your respectful tone encourages character voice.</w:t>
            </w:r>
          </w:p>
        </w:tc>
        <w:tc>
          <w:tcPr>
            <w:tcW w:w="3118" w:type="dxa"/>
          </w:tcPr>
          <w:p w14:paraId="525F628F" w14:textId="77777777" w:rsidR="00DB4E09" w:rsidRPr="006A687C" w:rsidRDefault="00DB4E09" w:rsidP="00B218A7">
            <w:pPr>
              <w:ind w:left="0" w:firstLine="0"/>
              <w:rPr>
                <w:sz w:val="20"/>
                <w:szCs w:val="20"/>
              </w:rPr>
            </w:pPr>
            <w:r>
              <w:rPr>
                <w:sz w:val="20"/>
                <w:szCs w:val="20"/>
              </w:rPr>
              <w:t>You mostly encourage open dialogue with your character. Continue to work on eye contact and active listening, so your character’s voice becomes clearer.</w:t>
            </w:r>
          </w:p>
        </w:tc>
        <w:tc>
          <w:tcPr>
            <w:tcW w:w="2835" w:type="dxa"/>
          </w:tcPr>
          <w:p w14:paraId="525F6290" w14:textId="77777777" w:rsidR="00DB4E09" w:rsidRPr="006A687C" w:rsidRDefault="00DB4E09" w:rsidP="00B218A7">
            <w:pPr>
              <w:ind w:left="0" w:firstLine="0"/>
              <w:rPr>
                <w:sz w:val="20"/>
                <w:szCs w:val="20"/>
              </w:rPr>
            </w:pPr>
            <w:r>
              <w:rPr>
                <w:sz w:val="20"/>
                <w:szCs w:val="20"/>
              </w:rPr>
              <w:t>You are having trouble encouraging open dialogue. Are there aspects of the interview making you uncomfortable? Make sure your questions are well-developed – this leads to interesting answers.</w:t>
            </w:r>
          </w:p>
        </w:tc>
      </w:tr>
    </w:tbl>
    <w:p w14:paraId="525F6292" w14:textId="77777777" w:rsidR="006A687C" w:rsidRPr="00AE33BC" w:rsidRDefault="006A687C">
      <w:pPr>
        <w:rPr>
          <w:b/>
          <w:sz w:val="28"/>
          <w:szCs w:val="28"/>
        </w:rPr>
      </w:pPr>
      <w:r>
        <w:rPr>
          <w:b/>
          <w:sz w:val="28"/>
          <w:szCs w:val="28"/>
        </w:rPr>
        <w:t>Feedback:</w:t>
      </w:r>
    </w:p>
    <w:sectPr w:rsidR="006A687C" w:rsidRPr="00AE33BC" w:rsidSect="00AE3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8021B"/>
    <w:rsid w:val="000C00AB"/>
    <w:rsid w:val="00115BFB"/>
    <w:rsid w:val="00194F52"/>
    <w:rsid w:val="001A4AB3"/>
    <w:rsid w:val="00264D61"/>
    <w:rsid w:val="003C4B4F"/>
    <w:rsid w:val="003E3DC4"/>
    <w:rsid w:val="004E31E1"/>
    <w:rsid w:val="00561F1B"/>
    <w:rsid w:val="00681989"/>
    <w:rsid w:val="00685D58"/>
    <w:rsid w:val="006A687C"/>
    <w:rsid w:val="008C150C"/>
    <w:rsid w:val="00A32CFF"/>
    <w:rsid w:val="00A70A6A"/>
    <w:rsid w:val="00AB2DF4"/>
    <w:rsid w:val="00AB7381"/>
    <w:rsid w:val="00AE33BC"/>
    <w:rsid w:val="00B218A7"/>
    <w:rsid w:val="00B34608"/>
    <w:rsid w:val="00BD69BA"/>
    <w:rsid w:val="00C64DA7"/>
    <w:rsid w:val="00D45126"/>
    <w:rsid w:val="00D7758B"/>
    <w:rsid w:val="00DB4E09"/>
    <w:rsid w:val="00E265BB"/>
    <w:rsid w:val="00EB42CB"/>
    <w:rsid w:val="00EF4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F626E"/>
  <w15:docId w15:val="{CD72DF78-DB90-4327-A8B0-2D304BB94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D61"/>
    <w:rPr>
      <w:rFonts w:ascii="Tahoma" w:hAnsi="Tahoma" w:cs="Tahoma"/>
      <w:sz w:val="16"/>
      <w:szCs w:val="16"/>
    </w:rPr>
  </w:style>
  <w:style w:type="character" w:customStyle="1" w:styleId="BalloonTextChar">
    <w:name w:val="Balloon Text Char"/>
    <w:basedOn w:val="DefaultParagraphFont"/>
    <w:link w:val="BalloonText"/>
    <w:uiPriority w:val="99"/>
    <w:semiHidden/>
    <w:rsid w:val="00264D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55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BE9AA1870C4B49BE377E0BE33F3737" ma:contentTypeVersion="0" ma:contentTypeDescription="Create a new document." ma:contentTypeScope="" ma:versionID="9cfb90dfd3b17724e7a7d99eae6b3ff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C01EFD-9971-4AE9-92E9-6B5121930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82D942D-F10A-4913-96DF-ABD7D6D02794}">
  <ds:schemaRefs>
    <ds:schemaRef ds:uri="http://schemas.microsoft.com/sharepoint/v3/contenttype/forms"/>
  </ds:schemaRefs>
</ds:datastoreItem>
</file>

<file path=customXml/itemProps3.xml><?xml version="1.0" encoding="utf-8"?>
<ds:datastoreItem xmlns:ds="http://schemas.openxmlformats.org/officeDocument/2006/customXml" ds:itemID="{B7C408F2-AF95-4C1D-B67C-23A41C5E9C71}">
  <ds:schemaRefs>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 ds:uri="http://schemas.microsoft.com/office/2006/documentManagement/typ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499</Words>
  <Characters>2846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2024-08-23T16:36:00Z</dcterms:created>
  <dcterms:modified xsi:type="dcterms:W3CDTF">2024-08-23T16:36:00Z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0x010100D4BE9AA1870C4B49BE377E0BE33F3737</vt:lpwstr>
  </property>
</Properties>
</file>